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AE59" w14:textId="77777777" w:rsidR="00963633" w:rsidRDefault="00963633">
      <w:pPr>
        <w:jc w:val="center"/>
        <w:rPr>
          <w:b/>
          <w:u w:val="single"/>
        </w:rPr>
      </w:pPr>
      <w:r>
        <w:rPr>
          <w:b/>
          <w:u w:val="single"/>
        </w:rPr>
        <w:t>AUDIT COMMITTEE CHARTER</w:t>
      </w:r>
    </w:p>
    <w:p w14:paraId="4DEA6293" w14:textId="77777777" w:rsidR="00963633" w:rsidRDefault="00963633">
      <w:pPr>
        <w:rPr>
          <w:u w:val="single"/>
        </w:rPr>
      </w:pPr>
      <w:r>
        <w:rPr>
          <w:b/>
          <w:u w:val="single"/>
        </w:rPr>
        <w:t>ESTABLISHMENT AND PURPOSE</w:t>
      </w:r>
    </w:p>
    <w:p w14:paraId="33D47DDD" w14:textId="00FDF358" w:rsidR="00963633" w:rsidRDefault="00963633">
      <w:pPr>
        <w:ind w:firstLine="720"/>
      </w:pPr>
      <w:r>
        <w:t xml:space="preserve">This document serves as the Charter for the Audit Committee (the “Committee”) of the Board of each registered investment company (the “Fund”) advised by </w:t>
      </w:r>
      <w:r w:rsidR="00C434D8">
        <w:t>Franklin Templeton Fund Adviser, LLC (formerly known as</w:t>
      </w:r>
      <w:r w:rsidR="00F20E46">
        <w:t xml:space="preserve"> </w:t>
      </w:r>
      <w:r>
        <w:t>Legg Mason Partners Fund Advisor, LLC</w:t>
      </w:r>
      <w:r w:rsidR="00F20E46">
        <w:t>)</w:t>
      </w:r>
      <w:r>
        <w:t xml:space="preserve"> or one of its affiliates (“Adviser”) listed on Appendix A hereto (each such Charter being a separate Charter).  The primary purposes of the Committee are to (a) assist Board oversight of (</w:t>
      </w:r>
      <w:proofErr w:type="spellStart"/>
      <w:r>
        <w:t>i</w:t>
      </w:r>
      <w:proofErr w:type="spellEnd"/>
      <w:r>
        <w:t xml:space="preserve">) the integrity of the Fund’s financial reporting, (ii) the Fund’s compliance with legal and regulatory requirements (iii) the qualifications and independence of the Fund’s independent registered public accountants and (iv) the performance of the Fund’s internal audit function and independent registered public accountants; (b) approve, and recommend to the Independent Board Members (as such term is defined below) for their ratification, the selection, appointment, retention or termination of the Fund’s independent registered public accountants, as well as approving the compensation thereof; (c) approve all audit and permissible non-audit services provided to the Fund and certain other persons by the Fund’s independent registered public accountants; and (d) for each closed-end Fund, prepare the report required to be prepared by the Committee pursuant to the rules of the Securities and Exchange Commission for inclusion in the Fund’s annual Proxy Statement. </w:t>
      </w:r>
    </w:p>
    <w:p w14:paraId="79ED66AA" w14:textId="77777777" w:rsidR="00963633" w:rsidRDefault="00963633">
      <w:pPr>
        <w:rPr>
          <w:b/>
          <w:bCs/>
          <w:u w:val="single"/>
        </w:rPr>
      </w:pPr>
      <w:r>
        <w:rPr>
          <w:b/>
          <w:bCs/>
          <w:u w:val="single"/>
        </w:rPr>
        <w:t>DUTIES AND RESPONSIBILITIES</w:t>
      </w:r>
    </w:p>
    <w:p w14:paraId="238890BB" w14:textId="77777777" w:rsidR="00963633" w:rsidRDefault="00963633">
      <w:pPr>
        <w:rPr>
          <w:b/>
          <w:bCs/>
          <w:u w:val="single"/>
        </w:rPr>
      </w:pPr>
      <w:r>
        <w:tab/>
        <w:t>The Fund’s independent registered public accountants are accountable to the Committee.</w:t>
      </w:r>
    </w:p>
    <w:p w14:paraId="49250AE8" w14:textId="77777777" w:rsidR="00963633" w:rsidRDefault="00963633">
      <w:pPr>
        <w:ind w:firstLine="720"/>
      </w:pPr>
      <w:r>
        <w:t>The Committee shall:</w:t>
      </w:r>
    </w:p>
    <w:p w14:paraId="2D20503B" w14:textId="77777777" w:rsidR="00963633" w:rsidRDefault="00963633">
      <w:pPr>
        <w:numPr>
          <w:ilvl w:val="0"/>
          <w:numId w:val="15"/>
        </w:numPr>
        <w:tabs>
          <w:tab w:val="clear" w:pos="1440"/>
        </w:tabs>
        <w:ind w:left="1425" w:hanging="684"/>
      </w:pPr>
      <w:r>
        <w:t>Bear direct responsibility for the appointment, compensation, retention and oversight of the Fund’s independent registered public accountants, or of any other public accounting firm engaged for the purpose of performing other audit, review or attest services for the Fund.</w:t>
      </w:r>
    </w:p>
    <w:p w14:paraId="4BB2BB21" w14:textId="77777777" w:rsidR="00963633" w:rsidRDefault="00963633">
      <w:pPr>
        <w:numPr>
          <w:ilvl w:val="0"/>
          <w:numId w:val="15"/>
        </w:numPr>
        <w:tabs>
          <w:tab w:val="clear" w:pos="1440"/>
        </w:tabs>
        <w:ind w:left="1425" w:hanging="684"/>
      </w:pPr>
      <w:r>
        <w:t>Confirm with any independent registered public accountants retained to provide audit services that the independent registered public accountants has ensured the appropriate rotation of the lead audit partner pursuant to applicable regulations.</w:t>
      </w:r>
    </w:p>
    <w:p w14:paraId="22C1B6B5" w14:textId="77777777" w:rsidR="00963633" w:rsidRDefault="00963633">
      <w:pPr>
        <w:numPr>
          <w:ilvl w:val="0"/>
          <w:numId w:val="15"/>
        </w:numPr>
        <w:tabs>
          <w:tab w:val="clear" w:pos="1440"/>
        </w:tabs>
        <w:ind w:left="1425" w:hanging="684"/>
      </w:pPr>
      <w:r>
        <w:t>Approve (a) all audit and permissible non-audit services</w:t>
      </w:r>
      <w:r>
        <w:rPr>
          <w:rStyle w:val="FootnoteReference"/>
        </w:rPr>
        <w:footnoteReference w:id="2"/>
      </w:r>
      <w:r>
        <w:t xml:space="preserve"> to be provided to the Fund and (b) all permissible non-audit services to be provided by the Fund’s </w:t>
      </w:r>
      <w:r>
        <w:lastRenderedPageBreak/>
        <w:t xml:space="preserve">independent registered public accountants to the Adviser and any Covered Service Providers if the engagement relates directly to the operations and financial reporting of the Fund.  The Committee may implement policies and procedures by which such services are approved other than by the full Committee.  </w:t>
      </w:r>
    </w:p>
    <w:p w14:paraId="7C8B0FCC" w14:textId="77777777" w:rsidR="00963633" w:rsidRDefault="00963633">
      <w:pPr>
        <w:numPr>
          <w:ilvl w:val="0"/>
          <w:numId w:val="15"/>
        </w:numPr>
        <w:tabs>
          <w:tab w:val="clear" w:pos="1440"/>
        </w:tabs>
        <w:ind w:left="1425" w:hanging="684"/>
      </w:pPr>
      <w:r>
        <w:t xml:space="preserve">Discuss with the independent registered public accountants any disclosed relationships or services that may diminish the objectivity and independence of the independent registered public accountants and, if so determined by the Committee, recommend that the Board take appropriate action to ensure the independence of the independent registered public accountants.  </w:t>
      </w:r>
    </w:p>
    <w:p w14:paraId="7DEA0156" w14:textId="77777777" w:rsidR="00963633" w:rsidRDefault="00963633">
      <w:pPr>
        <w:numPr>
          <w:ilvl w:val="0"/>
          <w:numId w:val="15"/>
        </w:numPr>
        <w:tabs>
          <w:tab w:val="clear" w:pos="1440"/>
        </w:tabs>
        <w:ind w:left="1425" w:hanging="684"/>
      </w:pPr>
      <w:r>
        <w:t xml:space="preserve">Review, in consultation with the independent registered public accountants, the proposed scope of the Fund’s audit each year, including the audit procedures to be utilized in the review of the Fund’s financial statements. </w:t>
      </w:r>
    </w:p>
    <w:p w14:paraId="154246BE" w14:textId="77777777" w:rsidR="00963633" w:rsidRDefault="00963633">
      <w:pPr>
        <w:numPr>
          <w:ilvl w:val="0"/>
          <w:numId w:val="15"/>
        </w:numPr>
        <w:tabs>
          <w:tab w:val="clear" w:pos="1440"/>
        </w:tabs>
        <w:ind w:left="1425" w:hanging="684"/>
      </w:pPr>
      <w:r>
        <w:t>Inquire of the Adviser and the independent registered public accountants as to significant tax and accounting policies elected by the Fund (including matters affecting qualification under Subchapter M of the Internal Revenue Code).</w:t>
      </w:r>
    </w:p>
    <w:p w14:paraId="2AA09C4D" w14:textId="77777777" w:rsidR="00963633" w:rsidRDefault="00963633">
      <w:pPr>
        <w:numPr>
          <w:ilvl w:val="0"/>
          <w:numId w:val="15"/>
        </w:numPr>
        <w:tabs>
          <w:tab w:val="clear" w:pos="1440"/>
        </w:tabs>
        <w:ind w:left="1425" w:hanging="684"/>
      </w:pPr>
      <w:r>
        <w:t xml:space="preserve">Review with the independent registered public accountants any problems or difficulties the registered public accountants may have encountered during the conduct of the audit and management’s response, including a discussion with the independent registered public accountants of the matters required to be discussed by Statement on Auditing Standards No. 61, 89, 90 or any subsequent Statement, relating to the conduct of the audit.  </w:t>
      </w:r>
    </w:p>
    <w:p w14:paraId="6E98EF11" w14:textId="77777777" w:rsidR="00963633" w:rsidRDefault="00963633">
      <w:pPr>
        <w:numPr>
          <w:ilvl w:val="0"/>
          <w:numId w:val="15"/>
        </w:numPr>
        <w:tabs>
          <w:tab w:val="clear" w:pos="1440"/>
        </w:tabs>
        <w:ind w:left="1425" w:hanging="684"/>
      </w:pPr>
      <w:r>
        <w:t>Review, in consultation, as appropriate, with the independent registered public accountants and significant Fund service providers, matters relating to internal controls over financial reporting and disclosure controls and procedures of the Fund and of the Fund’s significant service providers.</w:t>
      </w:r>
    </w:p>
    <w:p w14:paraId="7C1848BF" w14:textId="77777777" w:rsidR="00963633" w:rsidRDefault="00963633">
      <w:pPr>
        <w:numPr>
          <w:ilvl w:val="0"/>
          <w:numId w:val="15"/>
        </w:numPr>
        <w:tabs>
          <w:tab w:val="clear" w:pos="1440"/>
        </w:tabs>
        <w:ind w:left="1425" w:hanging="684"/>
      </w:pPr>
      <w:r>
        <w:lastRenderedPageBreak/>
        <w:t>Request, receive and/or review from the independent registered public accountants such other materials as deemed necessary or advisable by the Committee in the exercise of its duties under this Charter; such materials may include, without limitation, any other material written communications bearing on the Fund’s financial statements, or internal or disclosure controls, between the independent registered public accountants and the Fund, the Adviser or other Fund service providers, such as any management letter or schedule of unadjusted differences, and any comment or “deficiency” letter (to the extent such letters relate to financial reporting) received from a regulatory or self-regulatory organization addressed to the Fund or the Adviser that relates to services rendered to the Fund.</w:t>
      </w:r>
    </w:p>
    <w:p w14:paraId="4AABC50B" w14:textId="77777777" w:rsidR="00963633" w:rsidRDefault="00963633">
      <w:pPr>
        <w:numPr>
          <w:ilvl w:val="0"/>
          <w:numId w:val="15"/>
        </w:numPr>
        <w:tabs>
          <w:tab w:val="clear" w:pos="1440"/>
        </w:tabs>
        <w:ind w:left="1425" w:hanging="684"/>
      </w:pPr>
      <w:r>
        <w:t>For each closed-end Fund, establish procedures regarding the receipt, retention and treatment of complaints that the Fund may receive regarding Fund accounting, internal accounting controls or auditing matters, including procedures for the confidential or anonymous submission by Fund officers, employees, stockholders or service providers of concerns regarding questionable accounting or auditing matters related to the Fund.</w:t>
      </w:r>
    </w:p>
    <w:p w14:paraId="3AB30200" w14:textId="77777777" w:rsidR="00963633" w:rsidRDefault="00963633">
      <w:pPr>
        <w:numPr>
          <w:ilvl w:val="0"/>
          <w:numId w:val="15"/>
        </w:numPr>
        <w:tabs>
          <w:tab w:val="clear" w:pos="1440"/>
        </w:tabs>
        <w:ind w:left="1425" w:hanging="684"/>
      </w:pPr>
      <w:r>
        <w:t>For each closed-end Fund, obtain and review a report by the Fund’s independent registered public accountants describing (</w:t>
      </w:r>
      <w:proofErr w:type="spellStart"/>
      <w:r>
        <w:t>i</w:t>
      </w:r>
      <w:proofErr w:type="spellEnd"/>
      <w:r>
        <w:t>) the auditing firm’s internal quality-control procedures; (ii) any material issues raised by the most recent internal quality-control review, or peer review, of the auditing firm, or by any inquiry or investigation by governmental or professional authorities, within the preceding five years, respecting one or more independent audits carried out by the auditing firm, and any steps taken to deal with any such issues; and (iii) (to assess the auditor’s independence) all relationships between the independent registered public accountants and the Fund.</w:t>
      </w:r>
    </w:p>
    <w:p w14:paraId="00608D06" w14:textId="77777777" w:rsidR="00963633" w:rsidRDefault="00963633">
      <w:pPr>
        <w:numPr>
          <w:ilvl w:val="0"/>
          <w:numId w:val="15"/>
        </w:numPr>
        <w:tabs>
          <w:tab w:val="clear" w:pos="1440"/>
        </w:tabs>
        <w:ind w:left="1425" w:hanging="684"/>
      </w:pPr>
      <w:r>
        <w:t>For each closed-end Fund, discuss policies with respect to risk assessment and risk management.</w:t>
      </w:r>
    </w:p>
    <w:p w14:paraId="130EDC8D" w14:textId="77777777" w:rsidR="00963633" w:rsidRDefault="00963633">
      <w:pPr>
        <w:numPr>
          <w:ilvl w:val="0"/>
          <w:numId w:val="15"/>
        </w:numPr>
        <w:tabs>
          <w:tab w:val="clear" w:pos="1440"/>
        </w:tabs>
        <w:ind w:left="1425" w:hanging="684"/>
      </w:pPr>
      <w:r>
        <w:t>For each closed-end Fund, review hiring policies for employees or former employees of the Fund’s independent registered public accountants.</w:t>
      </w:r>
    </w:p>
    <w:p w14:paraId="3C2FB7A2" w14:textId="77777777" w:rsidR="00963633" w:rsidRPr="00C5005D" w:rsidRDefault="00963633">
      <w:pPr>
        <w:numPr>
          <w:ilvl w:val="0"/>
          <w:numId w:val="15"/>
        </w:numPr>
        <w:tabs>
          <w:tab w:val="clear" w:pos="1440"/>
        </w:tabs>
        <w:ind w:left="1425" w:hanging="684"/>
      </w:pPr>
      <w:r w:rsidRPr="00795660">
        <w:t xml:space="preserve">For each closed-end Fund, discuss with management and the Fund’s independent </w:t>
      </w:r>
      <w:r w:rsidRPr="00C5005D">
        <w:t xml:space="preserve">registered public accountants the Fund’s audited </w:t>
      </w:r>
      <w:r w:rsidR="0012149E" w:rsidRPr="00C5005D">
        <w:t>financial statements</w:t>
      </w:r>
      <w:r w:rsidRPr="00C5005D">
        <w:t xml:space="preserve">, including any narrative discussion by management concerning the Fund’s financial condition and investment performance and, if appropriate, recommend the publication of the Fund’s annual audited financial statements in the Fund’s annual report in advance of the printing and publication of the annual report.  </w:t>
      </w:r>
    </w:p>
    <w:p w14:paraId="0DA4A2B8" w14:textId="127D1EE0" w:rsidR="0012149E" w:rsidRPr="00C5005D" w:rsidRDefault="0012149E">
      <w:pPr>
        <w:numPr>
          <w:ilvl w:val="0"/>
          <w:numId w:val="15"/>
        </w:numPr>
        <w:tabs>
          <w:tab w:val="clear" w:pos="1440"/>
        </w:tabs>
        <w:ind w:left="1425" w:hanging="684"/>
      </w:pPr>
      <w:r w:rsidRPr="00C5005D">
        <w:t>For each closed-end Fund, discuss</w:t>
      </w:r>
      <w:r w:rsidR="00B75A79" w:rsidRPr="00C5005D">
        <w:t xml:space="preserve"> </w:t>
      </w:r>
      <w:r w:rsidRPr="00C5005D">
        <w:t>with management</w:t>
      </w:r>
      <w:r w:rsidR="00B75A79" w:rsidRPr="00C5005D">
        <w:t xml:space="preserve">, </w:t>
      </w:r>
      <w:r w:rsidR="00934DEA" w:rsidRPr="00C5005D">
        <w:t>prior to the</w:t>
      </w:r>
      <w:r w:rsidR="00B75A79" w:rsidRPr="00C5005D">
        <w:t xml:space="preserve"> printing and distribution</w:t>
      </w:r>
      <w:r w:rsidR="00934DEA" w:rsidRPr="00C5005D">
        <w:t xml:space="preserve"> of the Fund’s semi-annual report</w:t>
      </w:r>
      <w:r w:rsidR="00B75A79" w:rsidRPr="00C5005D">
        <w:t>, the</w:t>
      </w:r>
      <w:r w:rsidRPr="00C5005D">
        <w:t xml:space="preserve"> Fund’s unaudited financial statements, including any narrative discussion by management concerning the Fund’s financial condition and investment performance.</w:t>
      </w:r>
      <w:r w:rsidR="008F025F" w:rsidRPr="00C5005D">
        <w:t xml:space="preserve">  </w:t>
      </w:r>
    </w:p>
    <w:p w14:paraId="000322DF" w14:textId="77777777" w:rsidR="00963633" w:rsidRDefault="00963633">
      <w:pPr>
        <w:numPr>
          <w:ilvl w:val="0"/>
          <w:numId w:val="15"/>
        </w:numPr>
        <w:tabs>
          <w:tab w:val="clear" w:pos="1440"/>
        </w:tabs>
        <w:ind w:left="1425" w:hanging="684"/>
      </w:pPr>
      <w:r>
        <w:lastRenderedPageBreak/>
        <w:t>For each closed-end Fund, discuss the Fund’s earnings press releases, as well as financial information and earnings guidance provided to analysts and rating agencies;</w:t>
      </w:r>
    </w:p>
    <w:p w14:paraId="135D7711" w14:textId="77777777" w:rsidR="00963633" w:rsidRDefault="00963633">
      <w:pPr>
        <w:numPr>
          <w:ilvl w:val="0"/>
          <w:numId w:val="15"/>
        </w:numPr>
        <w:tabs>
          <w:tab w:val="clear" w:pos="1440"/>
        </w:tabs>
        <w:ind w:left="1425" w:hanging="684"/>
      </w:pPr>
      <w:r>
        <w:t>For each closed-end Fund, review and evaluate annually the performance of the Committee and the adequacy of this Charter and recommend any proposed changes to the Charter to the Board for approval.</w:t>
      </w:r>
    </w:p>
    <w:p w14:paraId="03AD878B" w14:textId="7497A58A" w:rsidR="00963633" w:rsidRDefault="00963633">
      <w:pPr>
        <w:pStyle w:val="BodyTextIndent"/>
        <w:rPr>
          <w:rFonts w:eastAsia="Arial Unicode MS"/>
        </w:rPr>
      </w:pPr>
      <w:r>
        <w:t xml:space="preserve">The Committee shall have the resources and authority appropriate to discharge its responsibilities, including the authority to retain, as it deems necessary to carry out its duties, special counsel and other experts or consultants at the expense of the Fund.  The Fund shall provide appropriate funding, as determined by the Committee, for the Committee to carry out its duties and its responsibilities, including (a) for compensation to be paid to, or services to be provided by, the Fund’s independent registered public accountants or other public accounting firm providing audit, review or attest services for the Fund, (b) for payment of compensation to any outside legal, accounting or other advisors, counsel or consultants employed by the Committee and (c) for the ordinary administrative expenses of the Committee.  </w:t>
      </w:r>
      <w:r>
        <w:rPr>
          <w:szCs w:val="24"/>
        </w:rPr>
        <w:t>In performing its duties, the Committee shall consult as it deems appropriate with the members of the Board, officers and employees of the Fund, the Adviser, the Fund’s sub-adviser(s), if any, the Fund’s counsel, counsel to the Independent Board Members and the Fund’s other service providers.</w:t>
      </w:r>
    </w:p>
    <w:p w14:paraId="3335A1EC" w14:textId="77777777" w:rsidR="00963633" w:rsidRDefault="00963633">
      <w:pPr>
        <w:rPr>
          <w:b/>
          <w:u w:val="single"/>
        </w:rPr>
      </w:pPr>
      <w:r>
        <w:rPr>
          <w:b/>
          <w:u w:val="single"/>
        </w:rPr>
        <w:t>COMPOSITION</w:t>
      </w:r>
    </w:p>
    <w:p w14:paraId="2B91A254" w14:textId="77777777" w:rsidR="00963633" w:rsidRDefault="00963633">
      <w:pPr>
        <w:ind w:firstLine="720"/>
        <w:rPr>
          <w:b/>
          <w:bCs/>
        </w:rPr>
      </w:pPr>
      <w:r>
        <w:t>The Committee shall be composed of each Board member who has been determined not to be an “interested person,” as that term is defined in Section 2(a)(19) of the Investment Company Act of 1940, as amended (“1940 Act”), of the Fund (the “Independent Board Members”), or such lesser number as the Board of the Fund may specifically determine and reflect in the Board’s minutes, each of whom shall be financially literate and at least one of whom shall have accounting or related financial management expertise as determined by the Fund’s Board in its business judgment.  Each member of the Committee must also meet the independence and experience requirements as set forth in the New York Stock Exchange’s Listed Company Manual or as set forth in the American Stock Exchange’s listing standards, as applicable, and the independence requirements applicable to investment companies set forth in the Securities Exchange Act of 1934.  For those Funds listed on the New York Stock Exchange, no member of the Committee may serve on the audit committees of more than three public companies, including the Funds, unless the Board determines that such simultaneous service would not impair the ability of such member to serve on the Committee effectively.  The Committee shall elect a Chairperson, who shall preside over Committee meetings.  The Chairperson shall serve for a term of three years, which term may be renewed from time to time.</w:t>
      </w:r>
    </w:p>
    <w:p w14:paraId="0D0D4C92" w14:textId="77777777" w:rsidR="0048438D" w:rsidRDefault="0048438D">
      <w:pPr>
        <w:rPr>
          <w:b/>
          <w:u w:val="single"/>
        </w:rPr>
      </w:pPr>
    </w:p>
    <w:p w14:paraId="523F22EA" w14:textId="77777777" w:rsidR="0048438D" w:rsidRDefault="0048438D">
      <w:pPr>
        <w:rPr>
          <w:b/>
          <w:u w:val="single"/>
        </w:rPr>
      </w:pPr>
    </w:p>
    <w:p w14:paraId="5B2B5119" w14:textId="04639E1A" w:rsidR="00963633" w:rsidRDefault="00963633">
      <w:pPr>
        <w:rPr>
          <w:b/>
          <w:u w:val="single"/>
        </w:rPr>
      </w:pPr>
      <w:r>
        <w:rPr>
          <w:b/>
          <w:u w:val="single"/>
        </w:rPr>
        <w:t>MEETINGS</w:t>
      </w:r>
    </w:p>
    <w:p w14:paraId="27D30566" w14:textId="77777777" w:rsidR="00963633" w:rsidRDefault="00963633">
      <w:pPr>
        <w:ind w:firstLine="720"/>
      </w:pPr>
      <w:r>
        <w:t xml:space="preserve">The Committee shall meet on a regular basis, but not less frequently than twice a year.  Special meetings may also be held upon reasonable notice to the members of the Committee.  An </w:t>
      </w:r>
      <w:r>
        <w:lastRenderedPageBreak/>
        <w:t xml:space="preserve">agenda shall be established for each meeting.  </w:t>
      </w:r>
      <w:bookmarkStart w:id="0" w:name="OLE_LINK1"/>
      <w:bookmarkStart w:id="1" w:name="OLE_LINK2"/>
      <w:r>
        <w:t>The Committee may request any officer or employee of the Fund, the Fund’s counsel, counsel to the Independent Board Members, the Adviser, the Fund’s independent registered public accountants or other interested persons to attend a meeting of the Committee or to meet with any members of, or consultants to, the Committee.</w:t>
      </w:r>
      <w:bookmarkEnd w:id="0"/>
      <w:bookmarkEnd w:id="1"/>
      <w:r>
        <w:t xml:space="preserve">  The Committee will meet periodically with the Fund’s independent registered public accountants outside the presence of the Fund’s and the Adviser’s officers and employees.  The Committee will also meet periodically with the Fund’s management outside the presence of the Fund’s independent registered public accountants.  Meetings of the Committee may be held in person, by telephone or by other appropriate means.</w:t>
      </w:r>
    </w:p>
    <w:p w14:paraId="6582E14F" w14:textId="77777777" w:rsidR="00552D50" w:rsidRDefault="00963633">
      <w:pPr>
        <w:ind w:firstLine="720"/>
      </w:pPr>
      <w:r>
        <w:t>One-third of the Committee’s members, but not fewer than two members, shall constitute a quorum.  At any meeting of the Committee, the decision of a majority of the members present and voting shall be determinative as to any matter submitted to a vote.</w:t>
      </w:r>
    </w:p>
    <w:p w14:paraId="690A89EF" w14:textId="0053129C" w:rsidR="003C5AE2" w:rsidRDefault="00552D50">
      <w:pPr>
        <w:ind w:firstLine="720"/>
      </w:pPr>
      <w:r>
        <w:t xml:space="preserve"> </w:t>
      </w:r>
    </w:p>
    <w:p w14:paraId="545A87CA" w14:textId="77777777" w:rsidR="00963633" w:rsidRDefault="00963633">
      <w:pPr>
        <w:keepNext/>
        <w:keepLines/>
        <w:rPr>
          <w:b/>
          <w:u w:val="single"/>
        </w:rPr>
      </w:pPr>
      <w:r>
        <w:rPr>
          <w:b/>
          <w:u w:val="single"/>
        </w:rPr>
        <w:t>REPORTING</w:t>
      </w:r>
    </w:p>
    <w:p w14:paraId="301834CA" w14:textId="77777777" w:rsidR="00963633" w:rsidRDefault="00963633">
      <w:pPr>
        <w:keepNext/>
        <w:keepLines/>
        <w:ind w:firstLine="720"/>
      </w:pPr>
      <w:r>
        <w:t>The Chairperson shall report regularly to the Board on the result of the Committee’s deliberations and make such recommendations as deemed appropriate.</w:t>
      </w:r>
    </w:p>
    <w:p w14:paraId="2BADEC25" w14:textId="77777777" w:rsidR="00963633" w:rsidRDefault="00963633">
      <w:pPr>
        <w:keepNext/>
        <w:keepLines/>
      </w:pPr>
      <w:r>
        <w:rPr>
          <w:b/>
          <w:u w:val="single"/>
        </w:rPr>
        <w:t>LIMITS ON ROLE OF COMMITTEE</w:t>
      </w:r>
    </w:p>
    <w:p w14:paraId="4A491B36" w14:textId="77777777" w:rsidR="00963633" w:rsidRDefault="00963633">
      <w:pPr>
        <w:ind w:firstLine="720"/>
      </w:pPr>
      <w:r>
        <w:t>The function of the Committee is oversight.  The Fund’s management is responsible for (</w:t>
      </w:r>
      <w:proofErr w:type="spellStart"/>
      <w:r>
        <w:t>i</w:t>
      </w:r>
      <w:proofErr w:type="spellEnd"/>
      <w:r>
        <w:t>) the preparation, presentation and integrity of the Fund's financial statements, (ii) the maintenance of appropriate accounting and financial reporting principles and policies and (iii) the maintenance of internal controls and procedures designed to assure compliance with accounting standards and applicable laws and regulations.  The independent registered public accountants are responsible for planning and carrying out proper audits and reviews.  In fulfilling their responsibilities hereunder, it is recognized that members of the Committee are not employees of the Fund.  As such, it is not the duty or responsibility of the Committee or its members to conduct "field work" or other types of auditing or accounting reviews or procedures or to set auditor independence standards.  Each member of the Committee shall be entitled to rely on (</w:t>
      </w:r>
      <w:proofErr w:type="spellStart"/>
      <w:r>
        <w:t>i</w:t>
      </w:r>
      <w:proofErr w:type="spellEnd"/>
      <w:r>
        <w:t>) the integrity of those persons and organizations within and outside the Fund from which it receives information and (ii) the accuracy of the financial and other information provided to the Committee by such persons and organizations absent actual knowledge to the contrary (which shall be promptly reported to the Fund's Board) and (iii) statements made by the officers and employees of the Fund, the Adviser or other third parties as to any information technology, internal audit and other non-audit services provided by the independent registered public accountants to the Fund.  The designation of a person as an “audit committee financial expert,” within the meaning of the rules adopted and implemented under Section 407 of the Sarbanes-Oxley Act of 2002, shall not impose any greater responsibility or liability on that person than the responsibility and liability imposed on such person as a member of the Committee, nor does it decrease the duties and obligations of other Committee members or the Board.</w:t>
      </w:r>
    </w:p>
    <w:p w14:paraId="71A5C34D" w14:textId="77777777" w:rsidR="00963633" w:rsidRDefault="00963633">
      <w:pPr>
        <w:ind w:firstLine="720"/>
      </w:pPr>
      <w:r>
        <w:lastRenderedPageBreak/>
        <w:t>In carrying out its responsibilities, the Committee’s policies and procedures shall be adapted, as appropriate, in order to best react to a changing environment.</w:t>
      </w:r>
    </w:p>
    <w:p w14:paraId="7F425542" w14:textId="77777777" w:rsidR="00963633" w:rsidRDefault="00963633">
      <w:pPr>
        <w:rPr>
          <w:b/>
          <w:u w:val="single"/>
        </w:rPr>
      </w:pPr>
      <w:r>
        <w:rPr>
          <w:b/>
          <w:u w:val="single"/>
        </w:rPr>
        <w:t>AMENDMENTS</w:t>
      </w:r>
    </w:p>
    <w:p w14:paraId="2ECDC195" w14:textId="77777777" w:rsidR="00963633" w:rsidRDefault="00963633">
      <w:pPr>
        <w:ind w:firstLine="720"/>
      </w:pPr>
      <w:r>
        <w:t>This Charter may be amended by a vote of a majority of the Board members.</w:t>
      </w:r>
    </w:p>
    <w:p w14:paraId="26884DAB" w14:textId="77777777" w:rsidR="00963633" w:rsidRDefault="00963633">
      <w:pPr>
        <w:ind w:firstLine="720"/>
        <w:sectPr w:rsidR="00963633" w:rsidSect="00531625">
          <w:headerReference w:type="default" r:id="rId10"/>
          <w:footerReference w:type="default" r:id="rId11"/>
          <w:footnotePr>
            <w:numRestart w:val="eachSect"/>
          </w:footnotePr>
          <w:pgSz w:w="12240" w:h="15840" w:code="1"/>
          <w:pgMar w:top="1440" w:right="1440" w:bottom="1440" w:left="1440" w:header="720" w:footer="720" w:gutter="0"/>
          <w:pgNumType w:start="1"/>
          <w:cols w:space="720"/>
          <w:titlePg/>
          <w:docGrid w:linePitch="360"/>
        </w:sectPr>
      </w:pPr>
    </w:p>
    <w:p w14:paraId="5618591C" w14:textId="77777777" w:rsidR="00963633" w:rsidRPr="00621DA4" w:rsidRDefault="00963633" w:rsidP="001929D2">
      <w:pPr>
        <w:spacing w:after="0"/>
        <w:ind w:firstLine="720"/>
        <w:jc w:val="right"/>
        <w:rPr>
          <w:sz w:val="22"/>
          <w:szCs w:val="22"/>
          <w:u w:val="single"/>
        </w:rPr>
      </w:pPr>
      <w:r w:rsidRPr="00621DA4">
        <w:rPr>
          <w:sz w:val="22"/>
          <w:szCs w:val="22"/>
          <w:u w:val="single"/>
        </w:rPr>
        <w:lastRenderedPageBreak/>
        <w:t>Appendix A</w:t>
      </w:r>
    </w:p>
    <w:p w14:paraId="7F1F65A7" w14:textId="59F15200" w:rsidR="00EA407A" w:rsidRPr="00621DA4" w:rsidRDefault="009F4078" w:rsidP="001929D2">
      <w:pPr>
        <w:spacing w:after="0"/>
        <w:ind w:firstLine="720"/>
        <w:jc w:val="right"/>
        <w:rPr>
          <w:sz w:val="22"/>
          <w:szCs w:val="22"/>
          <w:u w:val="single"/>
        </w:rPr>
      </w:pPr>
      <w:r>
        <w:rPr>
          <w:rFonts w:ascii="Georgia" w:hAnsi="Georgia"/>
          <w:i/>
          <w:iCs/>
        </w:rPr>
        <w:t xml:space="preserve">amended as of </w:t>
      </w:r>
      <w:r w:rsidR="00B0699C">
        <w:rPr>
          <w:rFonts w:ascii="Georgia" w:hAnsi="Georgia"/>
          <w:i/>
          <w:iCs/>
        </w:rPr>
        <w:t xml:space="preserve">February </w:t>
      </w:r>
      <w:r w:rsidR="004D6B89">
        <w:rPr>
          <w:rFonts w:ascii="Georgia" w:hAnsi="Georgia"/>
          <w:i/>
          <w:iCs/>
        </w:rPr>
        <w:t>1</w:t>
      </w:r>
      <w:r w:rsidR="00CC4F1B">
        <w:rPr>
          <w:rFonts w:ascii="Georgia" w:hAnsi="Georgia"/>
          <w:i/>
          <w:iCs/>
        </w:rPr>
        <w:t>2</w:t>
      </w:r>
      <w:r w:rsidR="00B0699C">
        <w:rPr>
          <w:rFonts w:ascii="Georgia" w:hAnsi="Georgia"/>
          <w:i/>
          <w:iCs/>
        </w:rPr>
        <w:t>, 20</w:t>
      </w:r>
      <w:r w:rsidR="00F55663">
        <w:rPr>
          <w:rFonts w:ascii="Georgia" w:hAnsi="Georgia"/>
          <w:i/>
          <w:iCs/>
        </w:rPr>
        <w:t>2</w:t>
      </w:r>
      <w:r w:rsidR="00CC4F1B">
        <w:rPr>
          <w:rFonts w:ascii="Georgia" w:hAnsi="Georgia"/>
          <w:i/>
          <w:iCs/>
        </w:rPr>
        <w:t>5</w:t>
      </w:r>
    </w:p>
    <w:p w14:paraId="728BB9BE" w14:textId="77777777" w:rsidR="00EA407A" w:rsidRDefault="00EA407A" w:rsidP="00B536F9">
      <w:pPr>
        <w:spacing w:after="0"/>
        <w:rPr>
          <w:u w:val="single"/>
        </w:rPr>
      </w:pPr>
    </w:p>
    <w:p w14:paraId="7E5EC10A" w14:textId="77777777" w:rsidR="00CC4F1B" w:rsidRPr="00CC4F1B" w:rsidRDefault="00CC4F1B" w:rsidP="00CC4F1B">
      <w:pPr>
        <w:spacing w:after="0"/>
      </w:pPr>
      <w:proofErr w:type="spellStart"/>
      <w:r w:rsidRPr="00CC4F1B">
        <w:t>BrandywineGLOBAL</w:t>
      </w:r>
      <w:proofErr w:type="spellEnd"/>
      <w:r w:rsidRPr="00CC4F1B">
        <w:t xml:space="preserve"> – Global Income Opportunities Fund (“BWG”) </w:t>
      </w:r>
    </w:p>
    <w:p w14:paraId="142092C9" w14:textId="77777777" w:rsidR="00CC4F1B" w:rsidRPr="00CC4F1B" w:rsidRDefault="00CC4F1B" w:rsidP="00CC4F1B">
      <w:pPr>
        <w:spacing w:after="0"/>
      </w:pPr>
      <w:r w:rsidRPr="00CC4F1B">
        <w:t>Clarion Partners Real Estate Income Fund Inc. (“CPREX”)</w:t>
      </w:r>
    </w:p>
    <w:p w14:paraId="40ABD6CD" w14:textId="77777777" w:rsidR="00CC4F1B" w:rsidRPr="00CC4F1B" w:rsidRDefault="00CC4F1B" w:rsidP="00CC4F1B">
      <w:pPr>
        <w:spacing w:after="0"/>
      </w:pPr>
      <w:r w:rsidRPr="00CC4F1B">
        <w:t>ClearBridge Energy Midstream Opportunity Fund Inc. (“EMO”)</w:t>
      </w:r>
    </w:p>
    <w:p w14:paraId="1B5C4FA4" w14:textId="77777777" w:rsidR="00CC4F1B" w:rsidRPr="00CC4F1B" w:rsidRDefault="00CC4F1B" w:rsidP="00CC4F1B">
      <w:pPr>
        <w:tabs>
          <w:tab w:val="left" w:pos="1185"/>
        </w:tabs>
        <w:spacing w:after="0"/>
      </w:pPr>
      <w:r w:rsidRPr="00CC4F1B">
        <w:t>Franklin Lexington Private Markets Fund (“FLEX”)</w:t>
      </w:r>
      <w:r w:rsidRPr="00CC4F1B">
        <w:tab/>
      </w:r>
    </w:p>
    <w:p w14:paraId="3F67FFE6" w14:textId="77777777" w:rsidR="00CC4F1B" w:rsidRPr="00CC4F1B" w:rsidRDefault="00CC4F1B" w:rsidP="00CC4F1B">
      <w:pPr>
        <w:spacing w:after="0"/>
      </w:pPr>
      <w:r w:rsidRPr="00CC4F1B">
        <w:t>LMP Capital and Income Fund Inc. (“SCD”)</w:t>
      </w:r>
    </w:p>
    <w:p w14:paraId="13D0F2AC" w14:textId="77777777" w:rsidR="00CC4F1B" w:rsidRPr="00CC4F1B" w:rsidRDefault="00CC4F1B" w:rsidP="00CC4F1B">
      <w:pPr>
        <w:spacing w:after="0"/>
        <w:rPr>
          <w:b/>
        </w:rPr>
      </w:pPr>
      <w:r w:rsidRPr="00CC4F1B">
        <w:t>Western Asset Diversified Income Fund (“WDI”)</w:t>
      </w:r>
    </w:p>
    <w:p w14:paraId="51FA7B56" w14:textId="77777777" w:rsidR="00CC4F1B" w:rsidRPr="00CC4F1B" w:rsidRDefault="00CC4F1B" w:rsidP="00CC4F1B">
      <w:pPr>
        <w:spacing w:after="0"/>
      </w:pPr>
      <w:r w:rsidRPr="00CC4F1B">
        <w:t>Western Asset Emerging Markets Debt Fund Inc. (“EMD”)</w:t>
      </w:r>
    </w:p>
    <w:p w14:paraId="115A7DB1" w14:textId="77777777" w:rsidR="00CC4F1B" w:rsidRPr="00CC4F1B" w:rsidRDefault="00CC4F1B" w:rsidP="00CC4F1B">
      <w:pPr>
        <w:spacing w:after="0"/>
      </w:pPr>
      <w:r w:rsidRPr="00CC4F1B">
        <w:t>Western Asset Global Corporate Opportunity Fund Inc. (“GDO”)</w:t>
      </w:r>
    </w:p>
    <w:p w14:paraId="5794B4E8" w14:textId="77777777" w:rsidR="00CC4F1B" w:rsidRPr="00CC4F1B" w:rsidRDefault="00CC4F1B" w:rsidP="00CC4F1B">
      <w:pPr>
        <w:spacing w:after="0"/>
      </w:pPr>
      <w:r w:rsidRPr="00CC4F1B">
        <w:t>Western Asset Global High Income Fund Inc. (“EHI”)</w:t>
      </w:r>
    </w:p>
    <w:p w14:paraId="7EED1EAA" w14:textId="77777777" w:rsidR="00CC4F1B" w:rsidRPr="00CC4F1B" w:rsidRDefault="00CC4F1B" w:rsidP="00CC4F1B">
      <w:pPr>
        <w:spacing w:after="0"/>
      </w:pPr>
      <w:r w:rsidRPr="00CC4F1B">
        <w:t>Western Asset High Income Fund II Inc. (“HIX”)</w:t>
      </w:r>
    </w:p>
    <w:p w14:paraId="69BE5FA8" w14:textId="77777777" w:rsidR="00CC4F1B" w:rsidRPr="00CC4F1B" w:rsidRDefault="00CC4F1B" w:rsidP="00CC4F1B">
      <w:pPr>
        <w:spacing w:after="0"/>
      </w:pPr>
      <w:r w:rsidRPr="00CC4F1B">
        <w:t>Western Asset High Income Opportunity Fund Inc. (“HIO”)</w:t>
      </w:r>
    </w:p>
    <w:p w14:paraId="4768B2A2" w14:textId="77777777" w:rsidR="00CC4F1B" w:rsidRPr="00CC4F1B" w:rsidRDefault="00CC4F1B" w:rsidP="00CC4F1B">
      <w:pPr>
        <w:spacing w:after="0"/>
      </w:pPr>
      <w:r w:rsidRPr="00CC4F1B">
        <w:t>Western Asset High Yield Defined Opportunity Fund Inc. (“HYI”)</w:t>
      </w:r>
    </w:p>
    <w:p w14:paraId="1699BB55" w14:textId="77777777" w:rsidR="00CC4F1B" w:rsidRPr="00CC4F1B" w:rsidRDefault="00CC4F1B" w:rsidP="00CC4F1B">
      <w:pPr>
        <w:spacing w:after="0"/>
      </w:pPr>
      <w:r w:rsidRPr="00CC4F1B">
        <w:t>Western Asset Intermediate Muni Fund Inc. (“SBI”)</w:t>
      </w:r>
    </w:p>
    <w:p w14:paraId="22B4747D" w14:textId="77777777" w:rsidR="00CC4F1B" w:rsidRPr="00CC4F1B" w:rsidRDefault="00CC4F1B" w:rsidP="00CC4F1B">
      <w:pPr>
        <w:spacing w:after="0"/>
      </w:pPr>
      <w:r w:rsidRPr="00CC4F1B">
        <w:t>Western Asset Investment Grade Opportunity Trust Inc. (“IGI”)</w:t>
      </w:r>
    </w:p>
    <w:p w14:paraId="7FE59342" w14:textId="77777777" w:rsidR="00CC4F1B" w:rsidRPr="00CC4F1B" w:rsidRDefault="00CC4F1B" w:rsidP="00CC4F1B">
      <w:pPr>
        <w:spacing w:after="0"/>
      </w:pPr>
      <w:r w:rsidRPr="00CC4F1B">
        <w:t>Western Asset Managed Municipals Fund Inc. (“MMU”)</w:t>
      </w:r>
    </w:p>
    <w:p w14:paraId="254F3F7E" w14:textId="77777777" w:rsidR="00CC4F1B" w:rsidRPr="00CC4F1B" w:rsidRDefault="00CC4F1B" w:rsidP="00CC4F1B">
      <w:pPr>
        <w:spacing w:after="0"/>
      </w:pPr>
      <w:r w:rsidRPr="00CC4F1B">
        <w:t>Western Asset Mortgage Opportunity Fund Inc. (“DMO”)</w:t>
      </w:r>
    </w:p>
    <w:p w14:paraId="6C4389A1" w14:textId="77777777" w:rsidR="00CC4F1B" w:rsidRPr="00CC4F1B" w:rsidRDefault="00CC4F1B" w:rsidP="00CC4F1B">
      <w:pPr>
        <w:spacing w:after="0"/>
      </w:pPr>
      <w:r w:rsidRPr="00CC4F1B">
        <w:t>Western Asset Municipal High Income Fund Inc. (“MHF”)</w:t>
      </w:r>
    </w:p>
    <w:p w14:paraId="6154D877" w14:textId="06D606E8" w:rsidR="00A74A66" w:rsidRPr="00A74A66" w:rsidRDefault="00A74A66" w:rsidP="00F55663">
      <w:pPr>
        <w:spacing w:after="0"/>
        <w:rPr>
          <w:b/>
        </w:rPr>
      </w:pPr>
    </w:p>
    <w:p w14:paraId="3BC8BDC1" w14:textId="77777777" w:rsidR="00B536F9" w:rsidRPr="00A74A66" w:rsidRDefault="00B536F9" w:rsidP="00B536F9">
      <w:pPr>
        <w:spacing w:after="0"/>
        <w:jc w:val="center"/>
        <w:rPr>
          <w:rFonts w:ascii="Georgia" w:hAnsi="Georgia" w:cs="Arial"/>
          <w:b/>
        </w:rPr>
      </w:pPr>
    </w:p>
    <w:p w14:paraId="1F245B40" w14:textId="77777777" w:rsidR="00963633" w:rsidRDefault="00963633">
      <w:pPr>
        <w:pStyle w:val="bodtext"/>
        <w:numPr>
          <w:ilvl w:val="0"/>
          <w:numId w:val="0"/>
        </w:numPr>
        <w:ind w:left="1080"/>
        <w:jc w:val="center"/>
      </w:pPr>
    </w:p>
    <w:sectPr w:rsidR="00963633" w:rsidSect="00531625">
      <w:headerReference w:type="first" r:id="rId12"/>
      <w:footnotePr>
        <w:numRestart w:val="eachSect"/>
      </w:foot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AF9E" w14:textId="77777777" w:rsidR="002F4493" w:rsidRDefault="002F4493">
      <w:r>
        <w:separator/>
      </w:r>
    </w:p>
  </w:endnote>
  <w:endnote w:type="continuationSeparator" w:id="0">
    <w:p w14:paraId="37461908" w14:textId="77777777" w:rsidR="002F4493" w:rsidRDefault="002F4493">
      <w:r>
        <w:continuationSeparator/>
      </w:r>
    </w:p>
  </w:endnote>
  <w:endnote w:type="continuationNotice" w:id="1">
    <w:p w14:paraId="541FBBD3" w14:textId="77777777" w:rsidR="002F4493" w:rsidRDefault="002F44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F278" w14:textId="77777777" w:rsidR="00D415DB" w:rsidRDefault="00D415DB">
    <w:pPr>
      <w:pStyle w:val="Footer"/>
      <w:rPr>
        <w:rStyle w:val="PageNumber"/>
        <w:sz w:val="24"/>
      </w:rPr>
    </w:pPr>
    <w:r>
      <w:tab/>
      <w:t>-</w:t>
    </w:r>
    <w:r w:rsidR="00176501">
      <w:rPr>
        <w:rStyle w:val="PageNumber"/>
        <w:sz w:val="24"/>
      </w:rPr>
      <w:fldChar w:fldCharType="begin"/>
    </w:r>
    <w:r>
      <w:rPr>
        <w:rStyle w:val="PageNumber"/>
        <w:sz w:val="24"/>
      </w:rPr>
      <w:instrText xml:space="preserve"> PAGE </w:instrText>
    </w:r>
    <w:r w:rsidR="00176501">
      <w:rPr>
        <w:rStyle w:val="PageNumber"/>
        <w:sz w:val="24"/>
      </w:rPr>
      <w:fldChar w:fldCharType="separate"/>
    </w:r>
    <w:r w:rsidR="00902072">
      <w:rPr>
        <w:rStyle w:val="PageNumber"/>
        <w:noProof/>
        <w:sz w:val="24"/>
      </w:rPr>
      <w:t>6</w:t>
    </w:r>
    <w:r w:rsidR="00176501">
      <w:rPr>
        <w:rStyle w:val="PageNumber"/>
        <w:sz w:val="24"/>
      </w:rPr>
      <w:fldChar w:fldCharType="end"/>
    </w:r>
    <w:r>
      <w:rPr>
        <w:rStyle w:val="PageNumber"/>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98EF" w14:textId="77777777" w:rsidR="002F4493" w:rsidRDefault="002F4493">
      <w:r>
        <w:separator/>
      </w:r>
    </w:p>
  </w:footnote>
  <w:footnote w:type="continuationSeparator" w:id="0">
    <w:p w14:paraId="42B1FDA1" w14:textId="77777777" w:rsidR="002F4493" w:rsidRDefault="002F4493">
      <w:r>
        <w:continuationSeparator/>
      </w:r>
    </w:p>
  </w:footnote>
  <w:footnote w:type="continuationNotice" w:id="1">
    <w:p w14:paraId="7E9CDA18" w14:textId="77777777" w:rsidR="002F4493" w:rsidRDefault="002F4493">
      <w:pPr>
        <w:spacing w:after="0"/>
      </w:pPr>
    </w:p>
  </w:footnote>
  <w:footnote w:id="2">
    <w:p w14:paraId="27EA68F7" w14:textId="77777777" w:rsidR="00D415DB" w:rsidRDefault="00D415DB">
      <w:pPr>
        <w:pStyle w:val="FootnoteText"/>
      </w:pPr>
      <w:r>
        <w:rPr>
          <w:rStyle w:val="FootnoteReference"/>
        </w:rPr>
        <w:footnoteRef/>
      </w:r>
      <w:r>
        <w:t xml:space="preserve"> </w:t>
      </w:r>
      <w:r>
        <w:tab/>
        <w:t xml:space="preserve">The Committee shall not approve non-audit services that the Committee believes may impair the independence of the independent registered public accountants.  As of the date of the approval of this Audit Committee Charter, permissible non-audit services include any professional services (including tax services), that are not prohibited services as described below, provided to the Fund by the independent registered public accountants, other than those provided to the Fund in connection with an audit or a review of the financial statements of the Fund.  Permissible non-audit services may </w:t>
      </w:r>
      <w:r>
        <w:rPr>
          <w:u w:val="single"/>
        </w:rPr>
        <w:t>not</w:t>
      </w:r>
      <w:r>
        <w:t xml:space="preserve"> include: (</w:t>
      </w:r>
      <w:proofErr w:type="spellStart"/>
      <w:r>
        <w:t>i</w:t>
      </w:r>
      <w:proofErr w:type="spellEnd"/>
      <w:r>
        <w:t>) bookkeeping or other services related to the accounting records or financial statements of the Fund; (ii) financial information systems design and implementation; (iii) appraisal or valuation services, and fairness opinions; (iv) actuarial services; (v) internal audit services; (vi) management functions; (vii) human resources; (viii) broker or dealer; (ix) legal services; (x) expert services unrelated to the audit; and (xi) any other service the Public Company Accounting Oversight Board determines, by regulation, is impermissible.</w:t>
      </w:r>
    </w:p>
    <w:p w14:paraId="66C99396" w14:textId="77777777" w:rsidR="00D415DB" w:rsidRDefault="00D415DB">
      <w:pPr>
        <w:pStyle w:val="FootnoteText"/>
      </w:pPr>
      <w:r>
        <w:tab/>
        <w:t>Pre-approval by the Committee of any permissible non-audit services is not required so long as: (</w:t>
      </w:r>
      <w:proofErr w:type="spellStart"/>
      <w:r>
        <w:t>i</w:t>
      </w:r>
      <w:proofErr w:type="spellEnd"/>
      <w:r>
        <w:t>) the aggregate amount of all such permissible non-audit services provided to the Fund, the Adviser and any service providers controlling, controlled by or under common control with the Adviser that provide ongoing services to the Fund (“Covered Service Providers”) constitutes not more than 5% of the total amount of revenues paid to the independent registered public accountants during the fiscal year in which the permissible non-audit services are provided to (a) the Fund, (b) the Adviser and (c) any entity controlling, controlled by or under common control with the Adviser that provides ongoing services to the Fund during the fiscal year in which the services are provided that would have to be approved by the Committee; (ii) the permissible non-audit services were not recognized by the Fund at the time of the engagement to be non-audit services; and (iii) such services are promptly brought to the attention of the Committee and approved by the Committee (or its delegate(s)) prior to the completion of the audit.</w:t>
      </w:r>
    </w:p>
    <w:p w14:paraId="5E2FC2BF" w14:textId="77777777" w:rsidR="00D415DB" w:rsidRDefault="00D415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FD95" w14:textId="77777777" w:rsidR="00D415DB" w:rsidRDefault="00D415DB">
    <w:pPr>
      <w:pStyle w:val="Header"/>
      <w:spacing w:after="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97B8" w14:textId="77777777" w:rsidR="00D415DB" w:rsidRDefault="00D41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BADC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34EA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48D4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46069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943F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5E40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D072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5901D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0E6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5257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13EB7"/>
    <w:multiLevelType w:val="multilevel"/>
    <w:tmpl w:val="723CC936"/>
    <w:lvl w:ilvl="0">
      <w:start w:val="1"/>
      <w:numFmt w:val="decimal"/>
      <w:lvlText w:val="%1."/>
      <w:lvlJc w:val="left"/>
      <w:pPr>
        <w:tabs>
          <w:tab w:val="num" w:pos="0"/>
        </w:tabs>
        <w:ind w:left="0" w:firstLine="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0" w:firstLine="144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0A661B87"/>
    <w:multiLevelType w:val="singleLevel"/>
    <w:tmpl w:val="67B2A170"/>
    <w:lvl w:ilvl="0">
      <w:start w:val="7"/>
      <w:numFmt w:val="upperRoman"/>
      <w:lvlText w:val="%1."/>
      <w:lvlJc w:val="left"/>
      <w:pPr>
        <w:tabs>
          <w:tab w:val="num" w:pos="1440"/>
        </w:tabs>
        <w:ind w:left="1440" w:hanging="720"/>
      </w:pPr>
      <w:rPr>
        <w:rFonts w:hint="default"/>
      </w:rPr>
    </w:lvl>
  </w:abstractNum>
  <w:abstractNum w:abstractNumId="12" w15:restartNumberingAfterBreak="0">
    <w:nsid w:val="0D1C2EE9"/>
    <w:multiLevelType w:val="singleLevel"/>
    <w:tmpl w:val="D4D8E3D0"/>
    <w:lvl w:ilvl="0">
      <w:start w:val="1"/>
      <w:numFmt w:val="lowerLetter"/>
      <w:lvlText w:val="(%1)"/>
      <w:legacy w:legacy="1" w:legacySpace="144" w:legacyIndent="360"/>
      <w:lvlJc w:val="left"/>
    </w:lvl>
  </w:abstractNum>
  <w:abstractNum w:abstractNumId="13" w15:restartNumberingAfterBreak="0">
    <w:nsid w:val="0E312E95"/>
    <w:multiLevelType w:val="multilevel"/>
    <w:tmpl w:val="26CA7550"/>
    <w:name w:val="DechertList"/>
    <w:lvl w:ilvl="0">
      <w:start w:val="1"/>
      <w:numFmt w:val="decimal"/>
      <w:suff w:val="nothing"/>
      <w:lvlText w:val="%1."/>
      <w:lvlJc w:val="left"/>
      <w:pPr>
        <w:ind w:left="720" w:hanging="72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nothing"/>
      <w:lvlText w:val="%2."/>
      <w:lvlJc w:val="left"/>
      <w:pPr>
        <w:ind w:left="1440" w:hanging="72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3."/>
      <w:lvlJc w:val="left"/>
      <w:pPr>
        <w:ind w:firstLine="144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firstLine="216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5)"/>
      <w:lvlJc w:val="left"/>
      <w:pPr>
        <w:ind w:firstLine="288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6)"/>
      <w:lvlJc w:val="left"/>
      <w:pPr>
        <w:ind w:firstLine="360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7)"/>
      <w:lvlJc w:val="left"/>
      <w:pPr>
        <w:ind w:firstLine="432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suff w:val="nothing"/>
      <w:lvlText w:val="(%8)"/>
      <w:lvlJc w:val="left"/>
      <w:pPr>
        <w:ind w:firstLine="504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9)"/>
      <w:lvlJc w:val="left"/>
      <w:pPr>
        <w:ind w:firstLine="5760"/>
      </w:pPr>
      <w:rPr>
        <w:rFonts w:ascii="Times New Roman" w:hAnsi="Times New Roman" w:cs="Times New Roman"/>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EF45579"/>
    <w:multiLevelType w:val="hybridMultilevel"/>
    <w:tmpl w:val="75605DA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B3C13D6"/>
    <w:multiLevelType w:val="multilevel"/>
    <w:tmpl w:val="DCAC5C3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0C0197E"/>
    <w:multiLevelType w:val="hybridMultilevel"/>
    <w:tmpl w:val="1CD444CA"/>
    <w:lvl w:ilvl="0" w:tplc="B910281C">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79F4ABD"/>
    <w:multiLevelType w:val="hybridMultilevel"/>
    <w:tmpl w:val="F8B0FBC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4778E0"/>
    <w:multiLevelType w:val="hybridMultilevel"/>
    <w:tmpl w:val="9D347896"/>
    <w:lvl w:ilvl="0" w:tplc="C41CDD24">
      <w:start w:val="1"/>
      <w:numFmt w:val="decimal"/>
      <w:pStyle w:val="STBListNumber2DBL"/>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5B5C0C"/>
    <w:multiLevelType w:val="hybridMultilevel"/>
    <w:tmpl w:val="1CD444CA"/>
    <w:lvl w:ilvl="0" w:tplc="B910281C">
      <w:start w:val="1"/>
      <w:numFmt w:val="bullet"/>
      <w:pStyle w:val="List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C6D25B8"/>
    <w:multiLevelType w:val="hybridMultilevel"/>
    <w:tmpl w:val="EFE0FD26"/>
    <w:lvl w:ilvl="0" w:tplc="6A107A8C">
      <w:start w:val="8"/>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2D0D1D"/>
    <w:multiLevelType w:val="hybridMultilevel"/>
    <w:tmpl w:val="1CD444CA"/>
    <w:lvl w:ilvl="0" w:tplc="A358016E">
      <w:start w:val="1"/>
      <w:numFmt w:val="bullet"/>
      <w:pStyle w:val="bodtex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27B78D7"/>
    <w:multiLevelType w:val="multilevel"/>
    <w:tmpl w:val="A96C42DC"/>
    <w:name w:val="Scheme 8"/>
    <w:lvl w:ilvl="0">
      <w:start w:val="1"/>
      <w:numFmt w:val="upperLetter"/>
      <w:pStyle w:val="Heading1"/>
      <w:lvlText w:val="%1."/>
      <w:lvlJc w:val="left"/>
      <w:pPr>
        <w:tabs>
          <w:tab w:val="num" w:pos="720"/>
        </w:tabs>
        <w:ind w:left="720" w:hanging="720"/>
      </w:pPr>
      <w:rPr>
        <w:rFonts w:hint="default"/>
        <w:b w:val="0"/>
        <w:i w:val="0"/>
        <w:color w:val="auto"/>
      </w:rPr>
    </w:lvl>
    <w:lvl w:ilvl="1">
      <w:start w:val="1"/>
      <w:numFmt w:val="decimal"/>
      <w:pStyle w:val="Heading2"/>
      <w:lvlText w:val="%2."/>
      <w:lvlJc w:val="left"/>
      <w:pPr>
        <w:tabs>
          <w:tab w:val="num" w:pos="1080"/>
        </w:tabs>
        <w:ind w:left="0" w:firstLine="720"/>
      </w:pPr>
      <w:rPr>
        <w:rFonts w:hint="default"/>
        <w:color w:val="auto"/>
      </w:rPr>
    </w:lvl>
    <w:lvl w:ilvl="2">
      <w:start w:val="1"/>
      <w:numFmt w:val="lowerLetter"/>
      <w:pStyle w:val="Heading3"/>
      <w:lvlText w:val="(%3)"/>
      <w:lvlJc w:val="left"/>
      <w:pPr>
        <w:tabs>
          <w:tab w:val="num" w:pos="1800"/>
        </w:tabs>
        <w:ind w:left="720" w:firstLine="720"/>
      </w:pPr>
      <w:rPr>
        <w:rFonts w:hint="default"/>
        <w:color w:val="auto"/>
      </w:rPr>
    </w:lvl>
    <w:lvl w:ilvl="3">
      <w:start w:val="1"/>
      <w:numFmt w:val="upperLetter"/>
      <w:pStyle w:val="Heading4"/>
      <w:lvlText w:val="(%4)"/>
      <w:lvlJc w:val="left"/>
      <w:pPr>
        <w:tabs>
          <w:tab w:val="num" w:pos="2520"/>
        </w:tabs>
        <w:ind w:left="1080" w:firstLine="1080"/>
      </w:pPr>
      <w:rPr>
        <w:rFonts w:hint="default"/>
        <w:color w:val="auto"/>
      </w:rPr>
    </w:lvl>
    <w:lvl w:ilvl="4">
      <w:start w:val="1"/>
      <w:numFmt w:val="decimal"/>
      <w:pStyle w:val="Heading5"/>
      <w:lvlText w:val="(%5)"/>
      <w:lvlJc w:val="left"/>
      <w:pPr>
        <w:tabs>
          <w:tab w:val="num" w:pos="2880"/>
        </w:tabs>
        <w:ind w:left="1440" w:firstLine="1080"/>
      </w:pPr>
      <w:rPr>
        <w:rFonts w:hint="default"/>
        <w:color w:val="auto"/>
      </w:rPr>
    </w:lvl>
    <w:lvl w:ilvl="5">
      <w:start w:val="1"/>
      <w:numFmt w:val="lowerRoman"/>
      <w:pStyle w:val="Heading6"/>
      <w:lvlText w:val="(%6)"/>
      <w:lvlJc w:val="left"/>
      <w:pPr>
        <w:tabs>
          <w:tab w:val="num" w:pos="2160"/>
        </w:tabs>
        <w:ind w:left="2160" w:hanging="360"/>
      </w:pPr>
      <w:rPr>
        <w:rFonts w:hint="default"/>
        <w:color w:val="auto"/>
      </w:rPr>
    </w:lvl>
    <w:lvl w:ilvl="6">
      <w:start w:val="1"/>
      <w:numFmt w:val="decimal"/>
      <w:pStyle w:val="Heading7"/>
      <w:lvlText w:val="%7."/>
      <w:lvlJc w:val="left"/>
      <w:pPr>
        <w:tabs>
          <w:tab w:val="num" w:pos="2520"/>
        </w:tabs>
        <w:ind w:left="2520" w:hanging="360"/>
      </w:pPr>
      <w:rPr>
        <w:rFonts w:hint="default"/>
        <w:color w:val="auto"/>
      </w:rPr>
    </w:lvl>
    <w:lvl w:ilvl="7">
      <w:start w:val="1"/>
      <w:numFmt w:val="lowerLetter"/>
      <w:pStyle w:val="Heading8"/>
      <w:lvlText w:val="%8."/>
      <w:lvlJc w:val="left"/>
      <w:pPr>
        <w:tabs>
          <w:tab w:val="num" w:pos="2880"/>
        </w:tabs>
        <w:ind w:left="2880" w:hanging="360"/>
      </w:pPr>
      <w:rPr>
        <w:rFonts w:hint="default"/>
        <w:color w:val="auto"/>
      </w:rPr>
    </w:lvl>
    <w:lvl w:ilvl="8">
      <w:start w:val="1"/>
      <w:numFmt w:val="lowerRoman"/>
      <w:pStyle w:val="Heading9"/>
      <w:lvlText w:val="%9."/>
      <w:lvlJc w:val="left"/>
      <w:pPr>
        <w:tabs>
          <w:tab w:val="num" w:pos="3240"/>
        </w:tabs>
        <w:ind w:left="3240" w:hanging="360"/>
      </w:pPr>
      <w:rPr>
        <w:rFonts w:hint="default"/>
        <w:color w:val="auto"/>
      </w:rPr>
    </w:lvl>
  </w:abstractNum>
  <w:abstractNum w:abstractNumId="23" w15:restartNumberingAfterBreak="0">
    <w:nsid w:val="5B422FC8"/>
    <w:multiLevelType w:val="hybridMultilevel"/>
    <w:tmpl w:val="FD10DF4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D263BBB"/>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6479487F"/>
    <w:multiLevelType w:val="multilevel"/>
    <w:tmpl w:val="73A87BAA"/>
    <w:lvl w:ilvl="0">
      <w:start w:val="1"/>
      <w:numFmt w:val="decimal"/>
      <w:lvlText w:val="%1."/>
      <w:lvlJc w:val="left"/>
      <w:pPr>
        <w:tabs>
          <w:tab w:val="num" w:pos="-13696"/>
        </w:tabs>
        <w:ind w:left="-13696" w:firstLine="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3696"/>
        </w:tabs>
        <w:ind w:left="-13696" w:firstLine="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3696"/>
        </w:tabs>
        <w:ind w:left="-13696" w:firstLine="144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3696"/>
        </w:tabs>
        <w:ind w:left="-13696" w:firstLine="216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3696"/>
        </w:tabs>
        <w:ind w:left="-13696" w:firstLine="288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3696"/>
        </w:tabs>
        <w:ind w:left="-13696" w:firstLine="360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3696"/>
        </w:tabs>
        <w:ind w:left="-13696" w:firstLine="43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13696"/>
        </w:tabs>
        <w:ind w:left="-13696" w:firstLine="504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3696"/>
        </w:tabs>
        <w:ind w:left="-13696" w:firstLine="576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AF339DA"/>
    <w:multiLevelType w:val="singleLevel"/>
    <w:tmpl w:val="04090019"/>
    <w:lvl w:ilvl="0">
      <w:start w:val="1"/>
      <w:numFmt w:val="lowerLetter"/>
      <w:lvlText w:val="(%1)"/>
      <w:lvlJc w:val="left"/>
      <w:pPr>
        <w:tabs>
          <w:tab w:val="num" w:pos="360"/>
        </w:tabs>
        <w:ind w:left="360" w:hanging="360"/>
      </w:pPr>
    </w:lvl>
  </w:abstractNum>
  <w:abstractNum w:abstractNumId="27" w15:restartNumberingAfterBreak="0">
    <w:nsid w:val="6DA64E06"/>
    <w:multiLevelType w:val="hybridMultilevel"/>
    <w:tmpl w:val="1CD444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FB2447A"/>
    <w:multiLevelType w:val="singleLevel"/>
    <w:tmpl w:val="E646AD98"/>
    <w:lvl w:ilvl="0">
      <w:numFmt w:val="none"/>
      <w:lvlText w:val=""/>
      <w:lvlJc w:val="left"/>
      <w:pPr>
        <w:tabs>
          <w:tab w:val="num" w:pos="360"/>
        </w:tabs>
      </w:pPr>
    </w:lvl>
  </w:abstractNum>
  <w:abstractNum w:abstractNumId="29" w15:restartNumberingAfterBreak="0">
    <w:nsid w:val="7DBB4C58"/>
    <w:multiLevelType w:val="singleLevel"/>
    <w:tmpl w:val="0B4CC11C"/>
    <w:lvl w:ilvl="0">
      <w:start w:val="1"/>
      <w:numFmt w:val="decimal"/>
      <w:lvlText w:val="%1."/>
      <w:legacy w:legacy="1" w:legacySpace="0" w:legacyIndent="360"/>
      <w:lvlJc w:val="left"/>
      <w:pPr>
        <w:ind w:left="360" w:hanging="360"/>
      </w:pPr>
    </w:lvl>
  </w:abstractNum>
  <w:abstractNum w:abstractNumId="30" w15:restartNumberingAfterBreak="0">
    <w:nsid w:val="7F7E5159"/>
    <w:multiLevelType w:val="hybridMultilevel"/>
    <w:tmpl w:val="FDE02030"/>
    <w:lvl w:ilvl="0" w:tplc="949210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2758348">
    <w:abstractNumId w:val="8"/>
  </w:num>
  <w:num w:numId="2" w16cid:durableId="885264092">
    <w:abstractNumId w:val="8"/>
  </w:num>
  <w:num w:numId="3" w16cid:durableId="160972622">
    <w:abstractNumId w:val="9"/>
  </w:num>
  <w:num w:numId="4" w16cid:durableId="357775638">
    <w:abstractNumId w:val="7"/>
  </w:num>
  <w:num w:numId="5" w16cid:durableId="204029916">
    <w:abstractNumId w:val="6"/>
  </w:num>
  <w:num w:numId="6" w16cid:durableId="922644940">
    <w:abstractNumId w:val="5"/>
  </w:num>
  <w:num w:numId="7" w16cid:durableId="532546186">
    <w:abstractNumId w:val="4"/>
  </w:num>
  <w:num w:numId="8" w16cid:durableId="345593086">
    <w:abstractNumId w:val="3"/>
  </w:num>
  <w:num w:numId="9" w16cid:durableId="533856410">
    <w:abstractNumId w:val="2"/>
  </w:num>
  <w:num w:numId="10" w16cid:durableId="1445345261">
    <w:abstractNumId w:val="1"/>
  </w:num>
  <w:num w:numId="11" w16cid:durableId="929042491">
    <w:abstractNumId w:val="0"/>
  </w:num>
  <w:num w:numId="12" w16cid:durableId="783227547">
    <w:abstractNumId w:val="28"/>
  </w:num>
  <w:num w:numId="13" w16cid:durableId="1220942239">
    <w:abstractNumId w:val="12"/>
  </w:num>
  <w:num w:numId="14" w16cid:durableId="784421048">
    <w:abstractNumId w:val="29"/>
  </w:num>
  <w:num w:numId="15" w16cid:durableId="516307922">
    <w:abstractNumId w:val="27"/>
  </w:num>
  <w:num w:numId="16" w16cid:durableId="369571669">
    <w:abstractNumId w:val="15"/>
  </w:num>
  <w:num w:numId="17" w16cid:durableId="241257018">
    <w:abstractNumId w:val="20"/>
  </w:num>
  <w:num w:numId="18" w16cid:durableId="1992365203">
    <w:abstractNumId w:val="16"/>
  </w:num>
  <w:num w:numId="19" w16cid:durableId="431169357">
    <w:abstractNumId w:val="11"/>
  </w:num>
  <w:num w:numId="20" w16cid:durableId="1166558393">
    <w:abstractNumId w:val="26"/>
  </w:num>
  <w:num w:numId="21" w16cid:durableId="1374771634">
    <w:abstractNumId w:val="24"/>
  </w:num>
  <w:num w:numId="22" w16cid:durableId="1757704348">
    <w:abstractNumId w:val="19"/>
  </w:num>
  <w:num w:numId="23" w16cid:durableId="1085805527">
    <w:abstractNumId w:val="13"/>
  </w:num>
  <w:num w:numId="24" w16cid:durableId="1123111180">
    <w:abstractNumId w:val="19"/>
  </w:num>
  <w:num w:numId="25" w16cid:durableId="437918873">
    <w:abstractNumId w:val="23"/>
  </w:num>
  <w:num w:numId="26" w16cid:durableId="32370500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8513319">
    <w:abstractNumId w:val="21"/>
  </w:num>
  <w:num w:numId="28" w16cid:durableId="1713143384">
    <w:abstractNumId w:val="14"/>
  </w:num>
  <w:num w:numId="29" w16cid:durableId="1286542623">
    <w:abstractNumId w:val="17"/>
  </w:num>
  <w:num w:numId="30" w16cid:durableId="1662345759">
    <w:abstractNumId w:val="25"/>
  </w:num>
  <w:num w:numId="31" w16cid:durableId="2051103440">
    <w:abstractNumId w:val="25"/>
  </w:num>
  <w:num w:numId="32" w16cid:durableId="2089769104">
    <w:abstractNumId w:val="25"/>
  </w:num>
  <w:num w:numId="33" w16cid:durableId="617446427">
    <w:abstractNumId w:val="25"/>
  </w:num>
  <w:num w:numId="34" w16cid:durableId="1145125884">
    <w:abstractNumId w:val="25"/>
  </w:num>
  <w:num w:numId="35" w16cid:durableId="34820888">
    <w:abstractNumId w:val="25"/>
  </w:num>
  <w:num w:numId="36" w16cid:durableId="1046218937">
    <w:abstractNumId w:val="30"/>
  </w:num>
  <w:num w:numId="37" w16cid:durableId="225117082">
    <w:abstractNumId w:val="10"/>
  </w:num>
  <w:num w:numId="38" w16cid:durableId="936444689">
    <w:abstractNumId w:val="18"/>
  </w:num>
  <w:num w:numId="39" w16cid:durableId="13540715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B7"/>
    <w:rsid w:val="000209B2"/>
    <w:rsid w:val="00053F70"/>
    <w:rsid w:val="000A0382"/>
    <w:rsid w:val="000B0AB6"/>
    <w:rsid w:val="000C6CE2"/>
    <w:rsid w:val="00117C31"/>
    <w:rsid w:val="0012149E"/>
    <w:rsid w:val="0014230E"/>
    <w:rsid w:val="001678EE"/>
    <w:rsid w:val="00176501"/>
    <w:rsid w:val="00185592"/>
    <w:rsid w:val="001929D2"/>
    <w:rsid w:val="00252941"/>
    <w:rsid w:val="00297D31"/>
    <w:rsid w:val="002A0843"/>
    <w:rsid w:val="002C5314"/>
    <w:rsid w:val="002F4493"/>
    <w:rsid w:val="00325FDC"/>
    <w:rsid w:val="00345300"/>
    <w:rsid w:val="00361CBD"/>
    <w:rsid w:val="003670CD"/>
    <w:rsid w:val="00376907"/>
    <w:rsid w:val="003A0CF0"/>
    <w:rsid w:val="003A35A7"/>
    <w:rsid w:val="003B620C"/>
    <w:rsid w:val="003C29B9"/>
    <w:rsid w:val="003C419C"/>
    <w:rsid w:val="003C5AE2"/>
    <w:rsid w:val="003D22DD"/>
    <w:rsid w:val="004253C2"/>
    <w:rsid w:val="00430EF1"/>
    <w:rsid w:val="004548CE"/>
    <w:rsid w:val="004617E1"/>
    <w:rsid w:val="0048438D"/>
    <w:rsid w:val="004D6B89"/>
    <w:rsid w:val="00523030"/>
    <w:rsid w:val="0052647A"/>
    <w:rsid w:val="00531625"/>
    <w:rsid w:val="00552D50"/>
    <w:rsid w:val="00554BCA"/>
    <w:rsid w:val="005F4B31"/>
    <w:rsid w:val="00621DA4"/>
    <w:rsid w:val="00646455"/>
    <w:rsid w:val="0066160D"/>
    <w:rsid w:val="006836C3"/>
    <w:rsid w:val="006C58B5"/>
    <w:rsid w:val="006D76C4"/>
    <w:rsid w:val="006E070F"/>
    <w:rsid w:val="007838E0"/>
    <w:rsid w:val="00795660"/>
    <w:rsid w:val="007B1897"/>
    <w:rsid w:val="00852B62"/>
    <w:rsid w:val="0089041C"/>
    <w:rsid w:val="00892021"/>
    <w:rsid w:val="00893C30"/>
    <w:rsid w:val="008B5145"/>
    <w:rsid w:val="008C0089"/>
    <w:rsid w:val="008D55E5"/>
    <w:rsid w:val="008E3F91"/>
    <w:rsid w:val="008F025F"/>
    <w:rsid w:val="00902072"/>
    <w:rsid w:val="00922AB9"/>
    <w:rsid w:val="009323B7"/>
    <w:rsid w:val="00934DEA"/>
    <w:rsid w:val="00962946"/>
    <w:rsid w:val="00963633"/>
    <w:rsid w:val="009F4078"/>
    <w:rsid w:val="00A00840"/>
    <w:rsid w:val="00A74A66"/>
    <w:rsid w:val="00A9057F"/>
    <w:rsid w:val="00A91F96"/>
    <w:rsid w:val="00AE29A2"/>
    <w:rsid w:val="00B0699C"/>
    <w:rsid w:val="00B25121"/>
    <w:rsid w:val="00B536F9"/>
    <w:rsid w:val="00B67400"/>
    <w:rsid w:val="00B75A79"/>
    <w:rsid w:val="00BA7D3D"/>
    <w:rsid w:val="00C04051"/>
    <w:rsid w:val="00C05989"/>
    <w:rsid w:val="00C34119"/>
    <w:rsid w:val="00C430E0"/>
    <w:rsid w:val="00C434D8"/>
    <w:rsid w:val="00C5005D"/>
    <w:rsid w:val="00CC1A41"/>
    <w:rsid w:val="00CC4F1B"/>
    <w:rsid w:val="00CD61D7"/>
    <w:rsid w:val="00D329E0"/>
    <w:rsid w:val="00D415DB"/>
    <w:rsid w:val="00D57809"/>
    <w:rsid w:val="00D75D2D"/>
    <w:rsid w:val="00DC4E50"/>
    <w:rsid w:val="00DD69BF"/>
    <w:rsid w:val="00E052C6"/>
    <w:rsid w:val="00E253D6"/>
    <w:rsid w:val="00E65C22"/>
    <w:rsid w:val="00E70041"/>
    <w:rsid w:val="00EA407A"/>
    <w:rsid w:val="00EE0561"/>
    <w:rsid w:val="00F20E46"/>
    <w:rsid w:val="00F20EC5"/>
    <w:rsid w:val="00F336E3"/>
    <w:rsid w:val="00F36BE6"/>
    <w:rsid w:val="00F55663"/>
    <w:rsid w:val="00F6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85056"/>
  <w15:docId w15:val="{0FE3BF65-0D1E-409D-88CC-40E7AD91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E50"/>
    <w:pPr>
      <w:spacing w:after="240"/>
    </w:pPr>
    <w:rPr>
      <w:sz w:val="24"/>
      <w:szCs w:val="24"/>
    </w:rPr>
  </w:style>
  <w:style w:type="paragraph" w:styleId="Heading1">
    <w:name w:val="heading 1"/>
    <w:basedOn w:val="Normal"/>
    <w:next w:val="BodyText"/>
    <w:qFormat/>
    <w:rsid w:val="00DC4E50"/>
    <w:pPr>
      <w:keepNext/>
      <w:numPr>
        <w:numId w:val="39"/>
      </w:numPr>
      <w:tabs>
        <w:tab w:val="clear" w:pos="720"/>
      </w:tabs>
      <w:outlineLvl w:val="0"/>
    </w:pPr>
    <w:rPr>
      <w:snapToGrid w:val="0"/>
      <w:kern w:val="28"/>
      <w:szCs w:val="20"/>
    </w:rPr>
  </w:style>
  <w:style w:type="paragraph" w:styleId="Heading2">
    <w:name w:val="heading 2"/>
    <w:basedOn w:val="Normal"/>
    <w:next w:val="BodyText"/>
    <w:qFormat/>
    <w:rsid w:val="00DC4E50"/>
    <w:pPr>
      <w:numPr>
        <w:ilvl w:val="1"/>
        <w:numId w:val="39"/>
      </w:numPr>
      <w:tabs>
        <w:tab w:val="clear" w:pos="1080"/>
      </w:tabs>
      <w:outlineLvl w:val="1"/>
    </w:pPr>
    <w:rPr>
      <w:snapToGrid w:val="0"/>
      <w:szCs w:val="20"/>
    </w:rPr>
  </w:style>
  <w:style w:type="paragraph" w:styleId="Heading3">
    <w:name w:val="heading 3"/>
    <w:basedOn w:val="Normal"/>
    <w:next w:val="BodyText"/>
    <w:qFormat/>
    <w:rsid w:val="00DC4E50"/>
    <w:pPr>
      <w:numPr>
        <w:ilvl w:val="2"/>
        <w:numId w:val="39"/>
      </w:numPr>
      <w:tabs>
        <w:tab w:val="clear" w:pos="1800"/>
      </w:tabs>
      <w:outlineLvl w:val="2"/>
    </w:pPr>
    <w:rPr>
      <w:snapToGrid w:val="0"/>
      <w:szCs w:val="20"/>
    </w:rPr>
  </w:style>
  <w:style w:type="paragraph" w:styleId="Heading4">
    <w:name w:val="heading 4"/>
    <w:basedOn w:val="Normal"/>
    <w:next w:val="BodyText"/>
    <w:qFormat/>
    <w:rsid w:val="00DC4E50"/>
    <w:pPr>
      <w:numPr>
        <w:ilvl w:val="3"/>
        <w:numId w:val="39"/>
      </w:numPr>
      <w:tabs>
        <w:tab w:val="clear" w:pos="2520"/>
      </w:tabs>
      <w:outlineLvl w:val="3"/>
    </w:pPr>
    <w:rPr>
      <w:snapToGrid w:val="0"/>
      <w:szCs w:val="20"/>
    </w:rPr>
  </w:style>
  <w:style w:type="paragraph" w:styleId="Heading5">
    <w:name w:val="heading 5"/>
    <w:basedOn w:val="Normal"/>
    <w:next w:val="BodyText"/>
    <w:qFormat/>
    <w:rsid w:val="00DC4E50"/>
    <w:pPr>
      <w:numPr>
        <w:ilvl w:val="4"/>
        <w:numId w:val="39"/>
      </w:numPr>
      <w:tabs>
        <w:tab w:val="clear" w:pos="2880"/>
      </w:tabs>
      <w:outlineLvl w:val="4"/>
    </w:pPr>
    <w:rPr>
      <w:snapToGrid w:val="0"/>
      <w:szCs w:val="20"/>
    </w:rPr>
  </w:style>
  <w:style w:type="paragraph" w:styleId="Heading6">
    <w:name w:val="heading 6"/>
    <w:basedOn w:val="Normal"/>
    <w:next w:val="BodyText"/>
    <w:qFormat/>
    <w:rsid w:val="00DC4E50"/>
    <w:pPr>
      <w:numPr>
        <w:ilvl w:val="5"/>
        <w:numId w:val="39"/>
      </w:numPr>
      <w:tabs>
        <w:tab w:val="clear" w:pos="2160"/>
      </w:tabs>
      <w:outlineLvl w:val="5"/>
    </w:pPr>
    <w:rPr>
      <w:snapToGrid w:val="0"/>
      <w:szCs w:val="20"/>
    </w:rPr>
  </w:style>
  <w:style w:type="paragraph" w:styleId="Heading7">
    <w:name w:val="heading 7"/>
    <w:basedOn w:val="Normal"/>
    <w:next w:val="BodyText"/>
    <w:qFormat/>
    <w:rsid w:val="00DC4E50"/>
    <w:pPr>
      <w:numPr>
        <w:ilvl w:val="6"/>
        <w:numId w:val="39"/>
      </w:numPr>
      <w:tabs>
        <w:tab w:val="clear" w:pos="2520"/>
      </w:tabs>
      <w:outlineLvl w:val="6"/>
    </w:pPr>
    <w:rPr>
      <w:snapToGrid w:val="0"/>
      <w:szCs w:val="20"/>
    </w:rPr>
  </w:style>
  <w:style w:type="paragraph" w:styleId="Heading8">
    <w:name w:val="heading 8"/>
    <w:basedOn w:val="Normal"/>
    <w:next w:val="BodyText"/>
    <w:qFormat/>
    <w:rsid w:val="00DC4E50"/>
    <w:pPr>
      <w:numPr>
        <w:ilvl w:val="7"/>
        <w:numId w:val="39"/>
      </w:numPr>
      <w:tabs>
        <w:tab w:val="clear" w:pos="2880"/>
      </w:tabs>
      <w:outlineLvl w:val="7"/>
    </w:pPr>
    <w:rPr>
      <w:snapToGrid w:val="0"/>
      <w:szCs w:val="20"/>
    </w:rPr>
  </w:style>
  <w:style w:type="paragraph" w:styleId="Heading9">
    <w:name w:val="heading 9"/>
    <w:basedOn w:val="Normal"/>
    <w:next w:val="BodyText"/>
    <w:qFormat/>
    <w:rsid w:val="00DC4E50"/>
    <w:pPr>
      <w:numPr>
        <w:ilvl w:val="8"/>
        <w:numId w:val="39"/>
      </w:numPr>
      <w:tabs>
        <w:tab w:val="clear" w:pos="3240"/>
      </w:tabs>
      <w:outlineLvl w:val="8"/>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a"/>
    <w:basedOn w:val="Normal"/>
    <w:rsid w:val="00DC4E50"/>
    <w:pPr>
      <w:spacing w:after="0"/>
    </w:pPr>
  </w:style>
  <w:style w:type="paragraph" w:styleId="Header">
    <w:name w:val="header"/>
    <w:basedOn w:val="Normal"/>
    <w:rsid w:val="00DC4E50"/>
    <w:pPr>
      <w:tabs>
        <w:tab w:val="center" w:pos="4680"/>
        <w:tab w:val="right" w:pos="9360"/>
      </w:tabs>
    </w:pPr>
  </w:style>
  <w:style w:type="paragraph" w:styleId="Footer">
    <w:name w:val="footer"/>
    <w:basedOn w:val="Normal"/>
    <w:rsid w:val="00DC4E50"/>
    <w:pPr>
      <w:tabs>
        <w:tab w:val="center" w:pos="4680"/>
        <w:tab w:val="right" w:pos="9360"/>
      </w:tabs>
    </w:pPr>
  </w:style>
  <w:style w:type="paragraph" w:styleId="BlockText">
    <w:name w:val="Block Text"/>
    <w:aliases w:val="bl"/>
    <w:basedOn w:val="Normal"/>
    <w:rsid w:val="00DC4E50"/>
    <w:pPr>
      <w:ind w:left="1440" w:right="1440"/>
    </w:pPr>
  </w:style>
  <w:style w:type="paragraph" w:styleId="BodyText">
    <w:name w:val="Body Text"/>
    <w:aliases w:val="b"/>
    <w:basedOn w:val="Normal"/>
    <w:rsid w:val="00DC4E50"/>
    <w:pPr>
      <w:ind w:firstLine="1440"/>
    </w:pPr>
  </w:style>
  <w:style w:type="paragraph" w:styleId="BodyText2">
    <w:name w:val="Body Text 2"/>
    <w:aliases w:val="b2,bt2"/>
    <w:basedOn w:val="BodyText"/>
    <w:rsid w:val="00DC4E50"/>
    <w:pPr>
      <w:ind w:firstLine="0"/>
    </w:pPr>
  </w:style>
  <w:style w:type="paragraph" w:styleId="EndnoteText">
    <w:name w:val="endnote text"/>
    <w:basedOn w:val="Normal"/>
    <w:semiHidden/>
    <w:rsid w:val="00DC4E50"/>
    <w:pPr>
      <w:widowControl w:val="0"/>
      <w:ind w:left="720" w:hanging="720"/>
    </w:pPr>
    <w:rPr>
      <w:sz w:val="20"/>
      <w:szCs w:val="20"/>
    </w:rPr>
  </w:style>
  <w:style w:type="paragraph" w:styleId="EnvelopeAddress">
    <w:name w:val="envelope address"/>
    <w:basedOn w:val="Normal"/>
    <w:rsid w:val="00DC4E50"/>
    <w:pPr>
      <w:framePr w:w="7920" w:h="1980" w:hRule="exact" w:hSpace="180" w:wrap="auto" w:hAnchor="page" w:xAlign="center" w:yAlign="bottom"/>
      <w:spacing w:after="0"/>
      <w:ind w:left="2880"/>
    </w:pPr>
    <w:rPr>
      <w:rFonts w:cs="Arial"/>
    </w:rPr>
  </w:style>
  <w:style w:type="paragraph" w:styleId="FootnoteText">
    <w:name w:val="footnote text"/>
    <w:basedOn w:val="Normal"/>
    <w:semiHidden/>
    <w:rsid w:val="00DC4E50"/>
    <w:pPr>
      <w:ind w:left="720" w:hanging="720"/>
    </w:pPr>
    <w:rPr>
      <w:sz w:val="20"/>
      <w:szCs w:val="20"/>
    </w:rPr>
  </w:style>
  <w:style w:type="paragraph" w:styleId="Index1">
    <w:name w:val="index 1"/>
    <w:basedOn w:val="Normal"/>
    <w:next w:val="Normal"/>
    <w:autoRedefine/>
    <w:semiHidden/>
    <w:rsid w:val="00DC4E50"/>
  </w:style>
  <w:style w:type="paragraph" w:styleId="Index2">
    <w:name w:val="index 2"/>
    <w:basedOn w:val="Normal"/>
    <w:next w:val="Normal"/>
    <w:autoRedefine/>
    <w:semiHidden/>
    <w:rsid w:val="00DC4E50"/>
    <w:pPr>
      <w:ind w:left="1440" w:hanging="720"/>
    </w:pPr>
  </w:style>
  <w:style w:type="paragraph" w:styleId="IndexHeading">
    <w:name w:val="index heading"/>
    <w:basedOn w:val="Normal"/>
    <w:next w:val="Index1"/>
    <w:semiHidden/>
    <w:rsid w:val="00DC4E50"/>
    <w:rPr>
      <w:rFonts w:cs="Arial"/>
      <w:b/>
    </w:rPr>
  </w:style>
  <w:style w:type="paragraph" w:styleId="ListContinue">
    <w:name w:val="List Continue"/>
    <w:aliases w:val="lc"/>
    <w:basedOn w:val="Normal"/>
    <w:rsid w:val="00DC4E50"/>
    <w:pPr>
      <w:ind w:left="720"/>
    </w:pPr>
  </w:style>
  <w:style w:type="paragraph" w:styleId="ListNumber">
    <w:name w:val="List Number"/>
    <w:aliases w:val="ln"/>
    <w:basedOn w:val="Normal"/>
    <w:rsid w:val="00DC4E50"/>
    <w:pPr>
      <w:numPr>
        <w:numId w:val="2"/>
      </w:numPr>
      <w:tabs>
        <w:tab w:val="clear" w:pos="360"/>
      </w:tabs>
      <w:ind w:left="720" w:hanging="720"/>
    </w:pPr>
  </w:style>
  <w:style w:type="paragraph" w:styleId="Subtitle">
    <w:name w:val="Subtitle"/>
    <w:aliases w:val="st"/>
    <w:basedOn w:val="Normal"/>
    <w:next w:val="BodyText"/>
    <w:qFormat/>
    <w:rsid w:val="00DC4E50"/>
    <w:pPr>
      <w:keepNext/>
      <w:ind w:right="12"/>
      <w:jc w:val="center"/>
    </w:pPr>
    <w:rPr>
      <w:rFonts w:cs="Arial"/>
    </w:rPr>
  </w:style>
  <w:style w:type="paragraph" w:styleId="Title">
    <w:name w:val="Title"/>
    <w:aliases w:val="t"/>
    <w:basedOn w:val="Normal"/>
    <w:next w:val="BodyText"/>
    <w:link w:val="TitleChar"/>
    <w:uiPriority w:val="99"/>
    <w:qFormat/>
    <w:rsid w:val="00DC4E50"/>
    <w:pPr>
      <w:keepNext/>
      <w:ind w:right="12"/>
      <w:jc w:val="center"/>
    </w:pPr>
    <w:rPr>
      <w:rFonts w:cs="Arial"/>
      <w:bCs/>
      <w:szCs w:val="32"/>
    </w:rPr>
  </w:style>
  <w:style w:type="character" w:styleId="PageNumber">
    <w:name w:val="page number"/>
    <w:basedOn w:val="DefaultParagraphFont"/>
    <w:rsid w:val="00DC4E50"/>
    <w:rPr>
      <w:sz w:val="20"/>
    </w:rPr>
  </w:style>
  <w:style w:type="paragraph" w:customStyle="1" w:styleId="Address">
    <w:name w:val="Address"/>
    <w:rsid w:val="00DC4E50"/>
    <w:pPr>
      <w:widowControl w:val="0"/>
    </w:pPr>
    <w:rPr>
      <w:sz w:val="24"/>
    </w:rPr>
  </w:style>
  <w:style w:type="paragraph" w:styleId="EnvelopeReturn">
    <w:name w:val="envelope return"/>
    <w:basedOn w:val="Normal"/>
    <w:rsid w:val="00DC4E50"/>
    <w:pPr>
      <w:spacing w:after="0"/>
    </w:pPr>
    <w:rPr>
      <w:rFonts w:cs="Arial"/>
      <w:sz w:val="20"/>
      <w:szCs w:val="20"/>
    </w:rPr>
  </w:style>
  <w:style w:type="paragraph" w:styleId="BodyTextFirstIndent">
    <w:name w:val="Body Text First Indent"/>
    <w:basedOn w:val="BodyText"/>
    <w:rsid w:val="00DC4E50"/>
    <w:pPr>
      <w:ind w:left="720" w:firstLine="720"/>
    </w:pPr>
  </w:style>
  <w:style w:type="paragraph" w:styleId="ListBullet">
    <w:name w:val="List Bullet"/>
    <w:basedOn w:val="Normal"/>
    <w:rsid w:val="00DC4E50"/>
    <w:pPr>
      <w:numPr>
        <w:numId w:val="24"/>
      </w:numPr>
    </w:pPr>
  </w:style>
  <w:style w:type="paragraph" w:styleId="ListBullet2">
    <w:name w:val="List Bullet 2"/>
    <w:basedOn w:val="Normal"/>
    <w:rsid w:val="00DC4E50"/>
    <w:pPr>
      <w:numPr>
        <w:numId w:val="4"/>
      </w:numPr>
    </w:pPr>
  </w:style>
  <w:style w:type="paragraph" w:styleId="ListBullet3">
    <w:name w:val="List Bullet 3"/>
    <w:basedOn w:val="Normal"/>
    <w:rsid w:val="00DC4E50"/>
    <w:pPr>
      <w:numPr>
        <w:numId w:val="5"/>
      </w:numPr>
    </w:pPr>
  </w:style>
  <w:style w:type="paragraph" w:styleId="ListBullet4">
    <w:name w:val="List Bullet 4"/>
    <w:basedOn w:val="Normal"/>
    <w:rsid w:val="00DC4E50"/>
    <w:pPr>
      <w:numPr>
        <w:numId w:val="6"/>
      </w:numPr>
    </w:pPr>
  </w:style>
  <w:style w:type="paragraph" w:styleId="ListBullet5">
    <w:name w:val="List Bullet 5"/>
    <w:basedOn w:val="Normal"/>
    <w:rsid w:val="00DC4E50"/>
    <w:pPr>
      <w:numPr>
        <w:numId w:val="7"/>
      </w:numPr>
    </w:pPr>
  </w:style>
  <w:style w:type="paragraph" w:styleId="ListContinue4">
    <w:name w:val="List Continue 4"/>
    <w:basedOn w:val="Normal"/>
    <w:rsid w:val="00DC4E50"/>
    <w:pPr>
      <w:spacing w:after="120"/>
      <w:ind w:left="1440"/>
    </w:pPr>
  </w:style>
  <w:style w:type="paragraph" w:styleId="BodyText3">
    <w:name w:val="Body Text 3"/>
    <w:basedOn w:val="Normal"/>
    <w:rsid w:val="00DC4E50"/>
    <w:pPr>
      <w:tabs>
        <w:tab w:val="left" w:pos="-432"/>
      </w:tabs>
      <w:ind w:left="734" w:firstLine="691"/>
    </w:pPr>
    <w:rPr>
      <w:spacing w:val="-3"/>
    </w:rPr>
  </w:style>
  <w:style w:type="paragraph" w:styleId="TOC1">
    <w:name w:val="toc 1"/>
    <w:basedOn w:val="Normal"/>
    <w:next w:val="Normal"/>
    <w:semiHidden/>
    <w:rsid w:val="00DC4E50"/>
    <w:pPr>
      <w:tabs>
        <w:tab w:val="left" w:leader="dot" w:pos="9000"/>
        <w:tab w:val="right" w:pos="9360"/>
      </w:tabs>
      <w:spacing w:before="480"/>
      <w:ind w:left="720" w:right="720" w:hanging="720"/>
    </w:pPr>
  </w:style>
  <w:style w:type="paragraph" w:styleId="TOC9">
    <w:name w:val="toc 9"/>
    <w:basedOn w:val="Normal"/>
    <w:next w:val="Normal"/>
    <w:autoRedefine/>
    <w:semiHidden/>
    <w:rsid w:val="00DC4E50"/>
    <w:pPr>
      <w:ind w:left="1920"/>
    </w:pPr>
  </w:style>
  <w:style w:type="character" w:customStyle="1" w:styleId="ID">
    <w:name w:val="ID"/>
    <w:basedOn w:val="DefaultParagraphFont"/>
    <w:rsid w:val="00DC4E50"/>
    <w:rPr>
      <w:rFonts w:ascii="Arial" w:hAnsi="Arial"/>
      <w:caps/>
      <w:sz w:val="16"/>
    </w:rPr>
  </w:style>
  <w:style w:type="paragraph" w:styleId="BodyTextIndent">
    <w:name w:val="Body Text Indent"/>
    <w:basedOn w:val="Normal"/>
    <w:rsid w:val="00DC4E50"/>
    <w:pPr>
      <w:ind w:firstLine="720"/>
    </w:pPr>
    <w:rPr>
      <w:szCs w:val="20"/>
    </w:rPr>
  </w:style>
  <w:style w:type="character" w:styleId="FootnoteReference">
    <w:name w:val="footnote reference"/>
    <w:basedOn w:val="DefaultParagraphFont"/>
    <w:semiHidden/>
    <w:rsid w:val="00DC4E50"/>
    <w:rPr>
      <w:rFonts w:ascii="Times New Roman" w:hAnsi="Times New Roman"/>
      <w:sz w:val="20"/>
      <w:vertAlign w:val="superscript"/>
    </w:rPr>
  </w:style>
  <w:style w:type="paragraph" w:customStyle="1" w:styleId="indent">
    <w:name w:val="indent"/>
    <w:basedOn w:val="Normal"/>
    <w:rsid w:val="00DC4E50"/>
    <w:pPr>
      <w:spacing w:after="0"/>
      <w:ind w:left="720"/>
    </w:pPr>
    <w:rPr>
      <w:szCs w:val="20"/>
    </w:rPr>
  </w:style>
  <w:style w:type="paragraph" w:styleId="BodyTextIndent2">
    <w:name w:val="Body Text Indent 2"/>
    <w:basedOn w:val="Normal"/>
    <w:rsid w:val="00DC4E50"/>
    <w:pPr>
      <w:ind w:firstLine="720"/>
    </w:pPr>
    <w:rPr>
      <w:b/>
    </w:rPr>
  </w:style>
  <w:style w:type="paragraph" w:customStyle="1" w:styleId="bodtext">
    <w:name w:val="bod text"/>
    <w:basedOn w:val="Normal"/>
    <w:rsid w:val="00DC4E50"/>
    <w:pPr>
      <w:numPr>
        <w:numId w:val="27"/>
      </w:numPr>
    </w:pPr>
  </w:style>
  <w:style w:type="paragraph" w:styleId="TOC2">
    <w:name w:val="toc 2"/>
    <w:basedOn w:val="Normal"/>
    <w:next w:val="Normal"/>
    <w:autoRedefine/>
    <w:semiHidden/>
    <w:rsid w:val="00DC4E50"/>
    <w:pPr>
      <w:ind w:left="240"/>
    </w:pPr>
  </w:style>
  <w:style w:type="paragraph" w:styleId="TOC3">
    <w:name w:val="toc 3"/>
    <w:basedOn w:val="Normal"/>
    <w:next w:val="Normal"/>
    <w:autoRedefine/>
    <w:semiHidden/>
    <w:rsid w:val="00DC4E50"/>
    <w:pPr>
      <w:ind w:left="480"/>
    </w:pPr>
  </w:style>
  <w:style w:type="paragraph" w:styleId="TOC4">
    <w:name w:val="toc 4"/>
    <w:basedOn w:val="Normal"/>
    <w:next w:val="Normal"/>
    <w:autoRedefine/>
    <w:semiHidden/>
    <w:rsid w:val="00DC4E50"/>
    <w:pPr>
      <w:ind w:left="720"/>
    </w:pPr>
  </w:style>
  <w:style w:type="paragraph" w:styleId="TOC5">
    <w:name w:val="toc 5"/>
    <w:basedOn w:val="Normal"/>
    <w:next w:val="Normal"/>
    <w:autoRedefine/>
    <w:semiHidden/>
    <w:rsid w:val="00DC4E50"/>
    <w:pPr>
      <w:ind w:left="960"/>
    </w:pPr>
  </w:style>
  <w:style w:type="paragraph" w:styleId="TOC6">
    <w:name w:val="toc 6"/>
    <w:basedOn w:val="Normal"/>
    <w:next w:val="Normal"/>
    <w:autoRedefine/>
    <w:semiHidden/>
    <w:rsid w:val="00DC4E50"/>
    <w:pPr>
      <w:ind w:left="1200"/>
    </w:pPr>
  </w:style>
  <w:style w:type="paragraph" w:styleId="TOC7">
    <w:name w:val="toc 7"/>
    <w:basedOn w:val="Normal"/>
    <w:next w:val="Normal"/>
    <w:autoRedefine/>
    <w:semiHidden/>
    <w:rsid w:val="00DC4E50"/>
    <w:pPr>
      <w:ind w:left="1440"/>
    </w:pPr>
  </w:style>
  <w:style w:type="paragraph" w:styleId="TOC8">
    <w:name w:val="toc 8"/>
    <w:basedOn w:val="Normal"/>
    <w:next w:val="Normal"/>
    <w:autoRedefine/>
    <w:semiHidden/>
    <w:rsid w:val="00DC4E50"/>
    <w:pPr>
      <w:ind w:left="1680"/>
    </w:pPr>
  </w:style>
  <w:style w:type="paragraph" w:styleId="Caption">
    <w:name w:val="caption"/>
    <w:basedOn w:val="Normal"/>
    <w:next w:val="Normal"/>
    <w:qFormat/>
    <w:rsid w:val="00DC4E50"/>
    <w:pPr>
      <w:spacing w:before="120" w:after="120"/>
    </w:pPr>
    <w:rPr>
      <w:bCs/>
      <w:szCs w:val="20"/>
    </w:rPr>
  </w:style>
  <w:style w:type="character" w:customStyle="1" w:styleId="DocID">
    <w:name w:val="DocID"/>
    <w:basedOn w:val="DefaultParagraphFont"/>
    <w:rsid w:val="00DC4E50"/>
    <w:rPr>
      <w:rFonts w:ascii="Times New Roman" w:hAnsi="Times New Roman"/>
      <w:b w:val="0"/>
      <w:i w:val="0"/>
      <w:caps w:val="0"/>
      <w:smallCaps w:val="0"/>
      <w:strike w:val="0"/>
      <w:dstrike w:val="0"/>
      <w:vanish w:val="0"/>
      <w:sz w:val="14"/>
      <w:u w:val="none"/>
    </w:rPr>
  </w:style>
  <w:style w:type="paragraph" w:customStyle="1" w:styleId="BlockTextSgl">
    <w:name w:val="Block Text Sgl"/>
    <w:basedOn w:val="Normal"/>
    <w:rsid w:val="00DC4E50"/>
  </w:style>
  <w:style w:type="paragraph" w:customStyle="1" w:styleId="CenteredU">
    <w:name w:val="Centered U"/>
    <w:basedOn w:val="Normal"/>
    <w:rsid w:val="00DC4E50"/>
    <w:pPr>
      <w:jc w:val="center"/>
    </w:pPr>
    <w:rPr>
      <w:u w:val="single"/>
    </w:rPr>
  </w:style>
  <w:style w:type="paragraph" w:customStyle="1" w:styleId="STBListNumber2DBL">
    <w:name w:val="STB List Number 2 DBL"/>
    <w:basedOn w:val="Normal"/>
    <w:rsid w:val="00DC4E50"/>
    <w:pPr>
      <w:numPr>
        <w:numId w:val="38"/>
      </w:numPr>
      <w:tabs>
        <w:tab w:val="clear" w:pos="1800"/>
      </w:tabs>
      <w:spacing w:after="0" w:line="480" w:lineRule="auto"/>
    </w:pPr>
  </w:style>
  <w:style w:type="paragraph" w:styleId="BalloonText">
    <w:name w:val="Balloon Text"/>
    <w:basedOn w:val="Normal"/>
    <w:semiHidden/>
    <w:rsid w:val="00DC4E50"/>
    <w:rPr>
      <w:rFonts w:ascii="Tahoma" w:hAnsi="Tahoma" w:cs="Tahoma"/>
      <w:sz w:val="16"/>
      <w:szCs w:val="16"/>
    </w:rPr>
  </w:style>
  <w:style w:type="character" w:customStyle="1" w:styleId="TitleChar">
    <w:name w:val="Title Char"/>
    <w:aliases w:val="t Char"/>
    <w:basedOn w:val="DefaultParagraphFont"/>
    <w:link w:val="Title"/>
    <w:uiPriority w:val="99"/>
    <w:locked/>
    <w:rsid w:val="00646455"/>
    <w:rPr>
      <w:rFonts w:cs="Arial"/>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258089-e9f1-4ded-895c-ce9193893252">
      <Terms xmlns="http://schemas.microsoft.com/office/infopath/2007/PartnerControls"/>
    </lcf76f155ced4ddcb4097134ff3c332f>
    <TaxCatchAll xmlns="b3f97d5d-cdbd-48c8-84c4-9801c6f521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61A3B79158C4299C3135AE60381A9" ma:contentTypeVersion="17" ma:contentTypeDescription="Create a new document." ma:contentTypeScope="" ma:versionID="857444f2869d1141b3ed35687a3f8be3">
  <xsd:schema xmlns:xsd="http://www.w3.org/2001/XMLSchema" xmlns:xs="http://www.w3.org/2001/XMLSchema" xmlns:p="http://schemas.microsoft.com/office/2006/metadata/properties" xmlns:ns2="ab258089-e9f1-4ded-895c-ce9193893252" xmlns:ns3="b3f97d5d-cdbd-48c8-84c4-9801c6f521c2" targetNamespace="http://schemas.microsoft.com/office/2006/metadata/properties" ma:root="true" ma:fieldsID="dd714c768416bdbb655867c97ba6d80f" ns2:_="" ns3:_="">
    <xsd:import namespace="ab258089-e9f1-4ded-895c-ce9193893252"/>
    <xsd:import namespace="b3f97d5d-cdbd-48c8-84c4-9801c6f52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58089-e9f1-4ded-895c-ce9193893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97d5d-cdbd-48c8-84c4-9801c6f52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0723fd4-331a-4fb2-a205-6a822e8204c1}" ma:internalName="TaxCatchAll" ma:showField="CatchAllData" ma:web="b3f97d5d-cdbd-48c8-84c4-9801c6f52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9A89C-1FEB-4287-84F2-FDDB52F455F5}">
  <ds:schemaRefs>
    <ds:schemaRef ds:uri="http://schemas.microsoft.com/office/2006/metadata/properties"/>
    <ds:schemaRef ds:uri="http://schemas.microsoft.com/office/infopath/2007/PartnerControls"/>
    <ds:schemaRef ds:uri="ab258089-e9f1-4ded-895c-ce9193893252"/>
    <ds:schemaRef ds:uri="b3f97d5d-cdbd-48c8-84c4-9801c6f521c2"/>
  </ds:schemaRefs>
</ds:datastoreItem>
</file>

<file path=customXml/itemProps2.xml><?xml version="1.0" encoding="utf-8"?>
<ds:datastoreItem xmlns:ds="http://schemas.openxmlformats.org/officeDocument/2006/customXml" ds:itemID="{78C4F4D9-5878-4365-9786-392259A9C6B9}">
  <ds:schemaRefs>
    <ds:schemaRef ds:uri="http://schemas.microsoft.com/sharepoint/v3/contenttype/forms"/>
  </ds:schemaRefs>
</ds:datastoreItem>
</file>

<file path=customXml/itemProps3.xml><?xml version="1.0" encoding="utf-8"?>
<ds:datastoreItem xmlns:ds="http://schemas.openxmlformats.org/officeDocument/2006/customXml" ds:itemID="{F02AD143-C704-4B8A-BEE6-C635FE229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58089-e9f1-4ded-895c-ce9193893252"/>
    <ds:schemaRef ds:uri="b3f97d5d-cdbd-48c8-84c4-9801c6f5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2166</Words>
  <Characters>12351</Characters>
  <Application>Microsoft Office Word</Application>
  <DocSecurity>0</DocSecurity>
  <PresentationFormat/>
  <Lines>102</Lines>
  <Paragraphs>28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AUDIT COMMITTEE CHARTER</vt:lpstr>
    </vt:vector>
  </TitlesOfParts>
  <Company>Legg Mason</Company>
  <LinksUpToDate>false</LinksUpToDate>
  <CharactersWithSpaces>14489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CHARTER</dc:title>
  <dc:creator>Joanna E Pressman (08224)</dc:creator>
  <cp:lastModifiedBy>O'Brien, Mitchell</cp:lastModifiedBy>
  <cp:revision>17</cp:revision>
  <cp:lastPrinted>2011-01-31T18:06:00Z</cp:lastPrinted>
  <dcterms:created xsi:type="dcterms:W3CDTF">2023-01-25T17:00:00Z</dcterms:created>
  <dcterms:modified xsi:type="dcterms:W3CDTF">2025-01-27T18:22:00Z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082221-0068-08224-NY02.2331243.4</vt:lpwstr>
  </property>
  <property fmtid="{D5CDD505-2E9C-101B-9397-08002B2CF9AE}" pid="3" name="ContentTypeId">
    <vt:lpwstr>0x010100B4861A3B79158C4299C3135AE60381A9</vt:lpwstr>
  </property>
  <property fmtid="{D5CDD505-2E9C-101B-9397-08002B2CF9AE}" pid="4" name="Order">
    <vt:r8>13722200</vt:r8>
  </property>
  <property fmtid="{D5CDD505-2E9C-101B-9397-08002B2CF9AE}" pid="5" name="_ExtendedDescription">
    <vt:lpwstr/>
  </property>
  <property fmtid="{D5CDD505-2E9C-101B-9397-08002B2CF9AE}" pid="6" name="MediaServiceImageTags">
    <vt:lpwstr/>
  </property>
</Properties>
</file>